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121"/>
        <w:tblW w:w="9639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single" w:sz="4" w:space="0" w:color="404040" w:themeColor="text1" w:themeTint="BF"/>
          <w:insideV w:val="dott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688"/>
        <w:gridCol w:w="1777"/>
        <w:gridCol w:w="1638"/>
      </w:tblGrid>
      <w:tr w:rsidR="00AE3F2A" w:rsidRPr="00353BF6" w:rsidTr="0017610C">
        <w:trPr>
          <w:trHeight w:val="397"/>
        </w:trPr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ind w:left="34"/>
              <w:jc w:val="center"/>
              <w:rPr>
                <w:rFonts w:ascii="Cambria" w:hAnsi="Cambria"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PERSONELİN</w:t>
            </w:r>
          </w:p>
        </w:tc>
      </w:tr>
      <w:tr w:rsidR="00AE3F2A" w:rsidRPr="00353BF6" w:rsidTr="0017610C">
        <w:trPr>
          <w:trHeight w:val="397"/>
        </w:trPr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ADI SOYADI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UNVANI</w:t>
            </w:r>
          </w:p>
        </w:tc>
        <w:tc>
          <w:tcPr>
            <w:tcW w:w="51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</w:pPr>
            <w:r w:rsidRPr="00353BF6">
              <w:rPr>
                <w:rFonts w:ascii="Cambria" w:hAnsi="Cambria"/>
                <w:b/>
                <w:color w:val="262626" w:themeColor="text1" w:themeTint="D9"/>
                <w:sz w:val="22"/>
                <w:szCs w:val="22"/>
              </w:rPr>
              <w:t>SORUMLU OLDUĞU YÖNETİCİLER</w:t>
            </w:r>
          </w:p>
        </w:tc>
      </w:tr>
      <w:tr w:rsidR="00AE3F2A" w:rsidRPr="00353BF6" w:rsidTr="0017610C">
        <w:tc>
          <w:tcPr>
            <w:tcW w:w="2552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Prof. Dr. Ali Kemal YILDIZ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Dekan</w:t>
            </w:r>
            <w:r w:rsidR="00DF3733" w:rsidRPr="00353BF6">
              <w:rPr>
                <w:rFonts w:ascii="Cambria" w:hAnsi="Cambria"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Rektör</w:t>
            </w:r>
            <w:r>
              <w:rPr>
                <w:rFonts w:ascii="Cambria" w:hAnsi="Cambria"/>
                <w:color w:val="262626" w:themeColor="text1" w:themeTint="D9"/>
                <w:sz w:val="24"/>
              </w:rPr>
              <w:t xml:space="preserve"> Yrd. </w:t>
            </w:r>
          </w:p>
        </w:tc>
        <w:tc>
          <w:tcPr>
            <w:tcW w:w="1777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17610C" w:rsidRPr="00353BF6" w:rsidRDefault="001D2F36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  <w:r>
              <w:rPr>
                <w:rFonts w:ascii="Cambria" w:hAnsi="Cambria"/>
                <w:color w:val="262626" w:themeColor="text1" w:themeTint="D9"/>
                <w:sz w:val="24"/>
              </w:rPr>
              <w:t>Rektör</w:t>
            </w:r>
          </w:p>
        </w:tc>
        <w:tc>
          <w:tcPr>
            <w:tcW w:w="1638" w:type="dxa"/>
            <w:tcBorders>
              <w:top w:val="single" w:sz="4" w:space="0" w:color="404040" w:themeColor="text1" w:themeTint="BF"/>
              <w:bottom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:rsidR="0017610C" w:rsidRPr="00353BF6" w:rsidRDefault="0017610C" w:rsidP="000D1FF3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353BF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left w:val="nil"/>
              <w:bottom w:val="double" w:sz="4" w:space="0" w:color="404040" w:themeColor="text1" w:themeTint="BF"/>
              <w:right w:val="nil"/>
            </w:tcBorders>
            <w:vAlign w:val="center"/>
          </w:tcPr>
          <w:p w:rsidR="0017610C" w:rsidRPr="00353BF6" w:rsidRDefault="0017610C" w:rsidP="0017610C">
            <w:pPr>
              <w:rPr>
                <w:rFonts w:ascii="Cambria" w:hAnsi="Cambria"/>
                <w:color w:val="262626" w:themeColor="text1" w:themeTint="D9"/>
                <w:sz w:val="24"/>
              </w:rPr>
            </w:pPr>
          </w:p>
        </w:tc>
      </w:tr>
      <w:tr w:rsidR="00AE3F2A" w:rsidRPr="001D2F36" w:rsidTr="002518DD">
        <w:tc>
          <w:tcPr>
            <w:tcW w:w="9639" w:type="dxa"/>
            <w:gridSpan w:val="5"/>
            <w:tcBorders>
              <w:top w:val="double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2518DD" w:rsidRPr="001D2F36" w:rsidRDefault="002518DD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 xml:space="preserve">İş/Görev Kısa Tanımı: </w:t>
            </w:r>
          </w:p>
          <w:p w:rsidR="00D12367" w:rsidRPr="001D2F36" w:rsidRDefault="001D2F36" w:rsidP="001D2F36">
            <w:pPr>
              <w:jc w:val="both"/>
              <w:rPr>
                <w:rFonts w:ascii="Cambria" w:hAnsi="Cambria"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color w:val="262626" w:themeColor="text1" w:themeTint="D9"/>
                <w:sz w:val="24"/>
              </w:rPr>
              <w:t xml:space="preserve">2547 Sayılı Yükseköğretim Kanunu'nun 16. maddesi ve Üniversitelerde Akademik Teşkilât Yönetmeliğinin 8. maddesi gereğince üniversite üst yönetimi tarafından belirlenen amaç ve ilkelere uygun olarak, eğitim-öğretimin etkin ve verimli bir şekilde gerçekleştirilmesi amacıyla etik ilkelerine göre idari ve akademik işleri planlamak, kararlar almak, yönlendirmek ve denetlemek. </w:t>
            </w:r>
            <w:bookmarkStart w:id="0" w:name="_GoBack"/>
            <w:bookmarkEnd w:id="0"/>
          </w:p>
          <w:p w:rsidR="00D12367" w:rsidRPr="001D2F36" w:rsidRDefault="00D12367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</w:p>
          <w:p w:rsidR="001B6391" w:rsidRPr="001D2F36" w:rsidRDefault="00D12367" w:rsidP="001D2F36">
            <w:pPr>
              <w:jc w:val="both"/>
              <w:rPr>
                <w:rFonts w:ascii="Cambria" w:hAnsi="Cambria"/>
                <w:b/>
                <w:color w:val="262626" w:themeColor="text1" w:themeTint="D9"/>
                <w:sz w:val="24"/>
              </w:rPr>
            </w:pPr>
            <w:r w:rsidRPr="001D2F36">
              <w:rPr>
                <w:rFonts w:ascii="Cambria" w:hAnsi="Cambria"/>
                <w:b/>
                <w:color w:val="262626" w:themeColor="text1" w:themeTint="D9"/>
                <w:sz w:val="24"/>
              </w:rPr>
              <w:tab/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b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İş/</w:t>
            </w:r>
            <w:proofErr w:type="gramStart"/>
            <w:r w:rsidRPr="001D2F36">
              <w:rPr>
                <w:rFonts w:ascii="Cambria" w:hAnsi="Cambria"/>
                <w:b/>
                <w:color w:val="404040" w:themeColor="text1" w:themeTint="BF"/>
                <w:sz w:val="24"/>
              </w:rPr>
              <w:t>Görevi :</w:t>
            </w:r>
            <w:proofErr w:type="gramEnd"/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Fakülteyi üst düzeyde ve Üniversite Senatosu ile Ü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niversite Yönetim Kurulunda temsil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proofErr w:type="gramStart"/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Rektörlük tarafından oluşturulan komisyonlarda görev almak ve toplantılara katılmak.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proofErr w:type="gramEnd"/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 Kurulu, Fakülte Yönetim Kurulu ve Akademik Kurula Başkanlık etmek ve kurullarda alınan kararların uygulanmasını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• Fakültenin </w:t>
            </w:r>
            <w:proofErr w:type="gramStart"/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misyon</w:t>
            </w:r>
            <w:proofErr w:type="gramEnd"/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 ve vizyonunu belirlemek, tüm akademik ve idari personel ile paylaşmak, gerçekleşmesi için çalışanları motive etmek.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•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A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kademik ve idari personelin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,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 faaliyetlerini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k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anunlar ve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y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önetmelikler çerçevesinde yerine getirmesini sağlamak.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Fakültenin birimleri üzerinde genel gözetim ve denetim görevini yapmak.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Her eğitim yılı sonunda ve istenildiğinde Fakültenin genel durumu ve işleyişi hakkında Rektöre rapor vermek.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Fakültede eğitim-öğretimin düzenli bir ş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ekilde sürdürülmesini sağlamak.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• Görev ve sorumluluk alanındaki faaliyetlerin ilgili 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kanun, yönetmelik ve iç kontrol s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isteminin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 xml:space="preserve"> tanım ve talimatlarına uyg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un olarak yürütülmesi sağlamak. 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Fakültenin ödenek ve kadro ihtiyaçlarını gerekçesi ile birlikt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e rektörlüğe bildirmek, fakülte </w:t>
            </w: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bütçesi ile ilgili öneriyi fakülte yönetim kurulunun da gör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>üşünü aldıktan sonra rektörlüğe sunmak.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Faaliyet Raporu, iç denetim, strate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jik plan hazırlama çalışmalarını yürütülmesini sağlamak. 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 faaliyetlerine ilişkin, yönetmelik ve yönergeler hazırlatmak ve Rektörlüğe sunmak.</w:t>
            </w: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proofErr w:type="gramStart"/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Fakültenin Rektörlük ve diğer kurumlarla yazışmalarının yapılmasını sağlamak.</w:t>
            </w:r>
            <w:proofErr w:type="gramEnd"/>
          </w:p>
          <w:p w:rsid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  <w:proofErr w:type="gramStart"/>
            <w:r w:rsidRPr="001D2F36">
              <w:rPr>
                <w:rFonts w:ascii="Cambria" w:hAnsi="Cambria"/>
                <w:color w:val="404040" w:themeColor="text1" w:themeTint="BF"/>
                <w:sz w:val="24"/>
              </w:rPr>
              <w:t>• Rektörün vereceği diğer görevleri yapmak.</w:t>
            </w:r>
            <w:r>
              <w:rPr>
                <w:rFonts w:ascii="Cambria" w:hAnsi="Cambria"/>
                <w:color w:val="404040" w:themeColor="text1" w:themeTint="BF"/>
                <w:sz w:val="24"/>
              </w:rPr>
              <w:t xml:space="preserve"> </w:t>
            </w:r>
            <w:proofErr w:type="gramEnd"/>
          </w:p>
          <w:p w:rsid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</w:p>
          <w:p w:rsidR="001D2F36" w:rsidRPr="001D2F36" w:rsidRDefault="001D2F36" w:rsidP="001D2F36">
            <w:pPr>
              <w:jc w:val="both"/>
              <w:rPr>
                <w:rFonts w:ascii="Cambria" w:hAnsi="Cambria"/>
                <w:color w:val="404040" w:themeColor="text1" w:themeTint="BF"/>
                <w:sz w:val="24"/>
              </w:rPr>
            </w:pPr>
          </w:p>
        </w:tc>
      </w:tr>
    </w:tbl>
    <w:p w:rsidR="00E5210E" w:rsidRPr="001D2F36" w:rsidRDefault="00E5210E" w:rsidP="001D2F36">
      <w:pPr>
        <w:jc w:val="both"/>
        <w:rPr>
          <w:rFonts w:ascii="Cambria" w:hAnsi="Cambria"/>
          <w:color w:val="262626" w:themeColor="text1" w:themeTint="D9"/>
          <w:sz w:val="4"/>
        </w:rPr>
      </w:pPr>
    </w:p>
    <w:sectPr w:rsidR="00E5210E" w:rsidRPr="001D2F36" w:rsidSect="00AE3F2A">
      <w:headerReference w:type="default" r:id="rId8"/>
      <w:footerReference w:type="default" r:id="rId9"/>
      <w:pgSz w:w="11906" w:h="16838" w:code="9"/>
      <w:pgMar w:top="851" w:right="1133" w:bottom="851" w:left="1134" w:header="84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3E" w:rsidRDefault="00114F3E" w:rsidP="00112247">
      <w:r>
        <w:separator/>
      </w:r>
    </w:p>
  </w:endnote>
  <w:endnote w:type="continuationSeparator" w:id="0">
    <w:p w:rsidR="00114F3E" w:rsidRDefault="00114F3E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31" w:rsidRDefault="00840431">
    <w:pPr>
      <w:pStyle w:val="Altbilgi"/>
      <w:jc w:val="right"/>
    </w:pPr>
  </w:p>
  <w:p w:rsidR="00840431" w:rsidRDefault="00114F3E">
    <w:pPr>
      <w:pStyle w:val="Altbilgi"/>
      <w:jc w:val="right"/>
    </w:pPr>
    <w:sdt>
      <w:sdtPr>
        <w:id w:val="-21306958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40431">
              <w:t xml:space="preserve">Sayfa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PAGE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1D2F36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  <w:r w:rsidR="00840431">
              <w:t xml:space="preserve"> / </w:t>
            </w:r>
            <w:r w:rsidR="00840431">
              <w:rPr>
                <w:b/>
                <w:bCs/>
                <w:sz w:val="24"/>
                <w:szCs w:val="24"/>
              </w:rPr>
              <w:fldChar w:fldCharType="begin"/>
            </w:r>
            <w:r w:rsidR="00840431">
              <w:rPr>
                <w:b/>
                <w:bCs/>
              </w:rPr>
              <w:instrText>NUMPAGES</w:instrText>
            </w:r>
            <w:r w:rsidR="00840431">
              <w:rPr>
                <w:b/>
                <w:bCs/>
                <w:sz w:val="24"/>
                <w:szCs w:val="24"/>
              </w:rPr>
              <w:fldChar w:fldCharType="separate"/>
            </w:r>
            <w:r w:rsidR="001D2F36">
              <w:rPr>
                <w:b/>
                <w:bCs/>
                <w:noProof/>
              </w:rPr>
              <w:t>1</w:t>
            </w:r>
            <w:r w:rsidR="0084043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E3F2A" w:rsidRDefault="00AE3F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3E" w:rsidRDefault="00114F3E" w:rsidP="00112247">
      <w:r>
        <w:separator/>
      </w:r>
    </w:p>
  </w:footnote>
  <w:footnote w:type="continuationSeparator" w:id="0">
    <w:p w:rsidR="00114F3E" w:rsidRDefault="00114F3E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Pr="00353BF6" w:rsidRDefault="00DC4884" w:rsidP="00AD22F0">
    <w:pPr>
      <w:pStyle w:val="stbilgi"/>
      <w:tabs>
        <w:tab w:val="clear" w:pos="4536"/>
        <w:tab w:val="clear" w:pos="9072"/>
      </w:tabs>
      <w:rPr>
        <w:rFonts w:ascii="Cambria" w:hAnsi="Cambria"/>
      </w:rPr>
    </w:pP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  <w:r w:rsidRPr="00353BF6">
      <w:rPr>
        <w:rFonts w:ascii="Cambria" w:hAnsi="Cambria"/>
      </w:rPr>
      <w:tab/>
    </w:r>
  </w:p>
  <w:tbl>
    <w:tblPr>
      <w:tblStyle w:val="TabloKlavuzu"/>
      <w:tblW w:w="9626" w:type="dxa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7"/>
      <w:gridCol w:w="4698"/>
      <w:gridCol w:w="1256"/>
      <w:gridCol w:w="1835"/>
    </w:tblGrid>
    <w:tr w:rsidR="00840431" w:rsidRPr="00353BF6" w:rsidTr="008054F2">
      <w:trPr>
        <w:trHeight w:val="440"/>
        <w:jc w:val="center"/>
      </w:trPr>
      <w:tc>
        <w:tcPr>
          <w:tcW w:w="1837" w:type="dxa"/>
          <w:vMerge w:val="restart"/>
          <w:tcBorders>
            <w:top w:val="doub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112247">
          <w:pPr>
            <w:rPr>
              <w:rFonts w:ascii="Cambria" w:hAnsi="Cambria"/>
              <w:color w:val="404040" w:themeColor="text1" w:themeTint="BF"/>
            </w:rPr>
          </w:pPr>
          <w:r w:rsidRPr="00353BF6">
            <w:rPr>
              <w:rFonts w:ascii="Cambria" w:hAnsi="Cambria"/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08AA8490" wp14:editId="10AC2E14">
                <wp:simplePos x="0" y="0"/>
                <wp:positionH relativeFrom="column">
                  <wp:posOffset>146050</wp:posOffset>
                </wp:positionH>
                <wp:positionV relativeFrom="paragraph">
                  <wp:posOffset>15240</wp:posOffset>
                </wp:positionV>
                <wp:extent cx="791210" cy="606425"/>
                <wp:effectExtent l="0" t="0" r="8890" b="3175"/>
                <wp:wrapNone/>
                <wp:docPr id="3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8" w:type="dxa"/>
          <w:vMerge w:val="restart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616E1C" w:rsidRPr="00353BF6" w:rsidRDefault="00616E1C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T.C.</w:t>
          </w:r>
        </w:p>
        <w:p w:rsidR="00840431" w:rsidRPr="00353BF6" w:rsidRDefault="00840431" w:rsidP="00112247">
          <w:pPr>
            <w:jc w:val="center"/>
            <w:rPr>
              <w:rFonts w:ascii="Cambria" w:hAnsi="Cambria"/>
              <w:b/>
              <w:color w:val="262626" w:themeColor="text1" w:themeTint="D9"/>
              <w:sz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</w:rPr>
            <w:t>TÜRK-ALMAN ÜNİVERSİTESİ</w:t>
          </w:r>
        </w:p>
        <w:p w:rsidR="00616E1C" w:rsidRPr="00353BF6" w:rsidRDefault="00616E1C" w:rsidP="00112247">
          <w:pPr>
            <w:jc w:val="center"/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840431" w:rsidRPr="00353BF6" w:rsidRDefault="00840431" w:rsidP="00B36020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Tarihi</w:t>
          </w:r>
        </w:p>
      </w:tc>
      <w:tc>
        <w:tcPr>
          <w:tcW w:w="1835" w:type="dxa"/>
          <w:tcBorders>
            <w:top w:val="doub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840431" w:rsidRPr="00353BF6" w:rsidRDefault="001D2F36" w:rsidP="001D2F36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  <w:r>
            <w:rPr>
              <w:rFonts w:ascii="Cambria" w:hAnsi="Cambria"/>
              <w:b/>
              <w:color w:val="262626" w:themeColor="text1" w:themeTint="D9"/>
              <w:sz w:val="22"/>
            </w:rPr>
            <w:t>10</w:t>
          </w:r>
          <w:r w:rsidR="00840431" w:rsidRPr="00353BF6">
            <w:rPr>
              <w:rFonts w:ascii="Cambria" w:hAnsi="Cambria"/>
              <w:b/>
              <w:color w:val="262626" w:themeColor="text1" w:themeTint="D9"/>
              <w:sz w:val="22"/>
            </w:rPr>
            <w:t>.</w:t>
          </w:r>
          <w:r w:rsidR="00DB2AD0" w:rsidRPr="00353BF6">
            <w:rPr>
              <w:rFonts w:ascii="Cambria" w:hAnsi="Cambria"/>
              <w:b/>
              <w:color w:val="262626" w:themeColor="text1" w:themeTint="D9"/>
              <w:sz w:val="22"/>
            </w:rPr>
            <w:t>0</w:t>
          </w:r>
          <w:r>
            <w:rPr>
              <w:rFonts w:ascii="Cambria" w:hAnsi="Cambria"/>
              <w:b/>
              <w:color w:val="262626" w:themeColor="text1" w:themeTint="D9"/>
              <w:sz w:val="22"/>
            </w:rPr>
            <w:t>6</w:t>
          </w:r>
          <w:r w:rsidR="004B4379" w:rsidRPr="00353BF6">
            <w:rPr>
              <w:rFonts w:ascii="Cambria" w:hAnsi="Cambria"/>
              <w:b/>
              <w:color w:val="262626" w:themeColor="text1" w:themeTint="D9"/>
              <w:sz w:val="22"/>
            </w:rPr>
            <w:t>.2019</w:t>
          </w: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840431" w:rsidP="00112247">
          <w:pPr>
            <w:rPr>
              <w:rFonts w:ascii="Cambria" w:hAnsi="Cambria"/>
              <w:color w:val="262626" w:themeColor="text1" w:themeTint="D9"/>
              <w:sz w:val="22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</w:rPr>
            <w:t>Sayı</w:t>
          </w:r>
        </w:p>
      </w:tc>
      <w:tc>
        <w:tcPr>
          <w:tcW w:w="1835" w:type="dxa"/>
          <w:tcBorders>
            <w:top w:val="dotted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AE3F2A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353BF6">
      <w:trPr>
        <w:trHeight w:val="340"/>
        <w:jc w:val="center"/>
      </w:trPr>
      <w:tc>
        <w:tcPr>
          <w:tcW w:w="1837" w:type="dxa"/>
          <w:vMerge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404040" w:themeColor="text1" w:themeTint="BF"/>
            </w:rPr>
          </w:pPr>
        </w:p>
      </w:tc>
      <w:tc>
        <w:tcPr>
          <w:tcW w:w="4698" w:type="dxa"/>
          <w:vMerge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4"/>
            </w:rPr>
          </w:pPr>
        </w:p>
      </w:tc>
      <w:tc>
        <w:tcPr>
          <w:tcW w:w="1256" w:type="dxa"/>
          <w:tcBorders>
            <w:top w:val="dotted" w:sz="4" w:space="0" w:color="404040" w:themeColor="text1" w:themeTint="BF"/>
            <w:bottom w:val="single" w:sz="4" w:space="0" w:color="404040" w:themeColor="text1" w:themeTint="BF"/>
          </w:tcBorders>
          <w:vAlign w:val="center"/>
        </w:tcPr>
        <w:p w:rsidR="00112247" w:rsidRPr="00353BF6" w:rsidRDefault="00112247" w:rsidP="00526DB5">
          <w:pPr>
            <w:rPr>
              <w:rFonts w:ascii="Cambria" w:hAnsi="Cambria"/>
              <w:color w:val="262626" w:themeColor="text1" w:themeTint="D9"/>
              <w:sz w:val="22"/>
            </w:rPr>
          </w:pPr>
        </w:p>
      </w:tc>
      <w:tc>
        <w:tcPr>
          <w:tcW w:w="1835" w:type="dxa"/>
          <w:tcBorders>
            <w:top w:val="dotted" w:sz="4" w:space="0" w:color="404040" w:themeColor="text1" w:themeTint="BF"/>
            <w:bottom w:val="sing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b/>
              <w:color w:val="262626" w:themeColor="text1" w:themeTint="D9"/>
              <w:sz w:val="22"/>
            </w:rPr>
          </w:pP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single" w:sz="4" w:space="0" w:color="404040" w:themeColor="text1" w:themeTint="BF"/>
            <w:left w:val="double" w:sz="4" w:space="0" w:color="404040" w:themeColor="text1" w:themeTint="BF"/>
            <w:bottom w:val="dotted" w:sz="4" w:space="0" w:color="404040" w:themeColor="text1" w:themeTint="BF"/>
          </w:tcBorders>
          <w:vAlign w:val="center"/>
        </w:tcPr>
        <w:p w:rsidR="00112247" w:rsidRPr="00353BF6" w:rsidRDefault="00112247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BİRİM </w:t>
          </w:r>
        </w:p>
      </w:tc>
      <w:tc>
        <w:tcPr>
          <w:tcW w:w="7789" w:type="dxa"/>
          <w:gridSpan w:val="3"/>
          <w:tcBorders>
            <w:top w:val="single" w:sz="4" w:space="0" w:color="404040" w:themeColor="text1" w:themeTint="BF"/>
            <w:bottom w:val="dotted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</w:pPr>
          <w:r w:rsidRPr="00353BF6">
            <w:rPr>
              <w:rFonts w:ascii="Cambria" w:hAnsi="Cambria"/>
              <w:b/>
              <w:color w:val="262626" w:themeColor="text1" w:themeTint="D9"/>
              <w:sz w:val="24"/>
              <w:szCs w:val="24"/>
            </w:rPr>
            <w:t>HUKUK FAKÜLTESİ</w:t>
          </w:r>
        </w:p>
      </w:tc>
    </w:tr>
    <w:tr w:rsidR="00112247" w:rsidRPr="00353BF6" w:rsidTr="00AE3F2A">
      <w:trPr>
        <w:trHeight w:val="340"/>
        <w:jc w:val="center"/>
      </w:trPr>
      <w:tc>
        <w:tcPr>
          <w:tcW w:w="1837" w:type="dxa"/>
          <w:tcBorders>
            <w:top w:val="dotted" w:sz="4" w:space="0" w:color="404040" w:themeColor="text1" w:themeTint="BF"/>
            <w:left w:val="double" w:sz="4" w:space="0" w:color="404040" w:themeColor="text1" w:themeTint="BF"/>
            <w:bottom w:val="double" w:sz="4" w:space="0" w:color="404040" w:themeColor="text1" w:themeTint="BF"/>
          </w:tcBorders>
          <w:vAlign w:val="center"/>
        </w:tcPr>
        <w:p w:rsidR="00112247" w:rsidRPr="00353BF6" w:rsidRDefault="00DC4884" w:rsidP="00112247">
          <w:pPr>
            <w:rPr>
              <w:rFonts w:ascii="Cambria" w:hAnsi="Cambria"/>
              <w:color w:val="262626" w:themeColor="text1" w:themeTint="D9"/>
              <w:sz w:val="22"/>
              <w:szCs w:val="24"/>
            </w:rPr>
          </w:pPr>
          <w:r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>BELGE TÜRÜ</w:t>
          </w:r>
          <w:r w:rsidR="00112247" w:rsidRPr="00353BF6">
            <w:rPr>
              <w:rFonts w:ascii="Cambria" w:hAnsi="Cambria"/>
              <w:color w:val="262626" w:themeColor="text1" w:themeTint="D9"/>
              <w:sz w:val="22"/>
              <w:szCs w:val="24"/>
            </w:rPr>
            <w:t xml:space="preserve"> </w:t>
          </w:r>
        </w:p>
      </w:tc>
      <w:tc>
        <w:tcPr>
          <w:tcW w:w="7789" w:type="dxa"/>
          <w:gridSpan w:val="3"/>
          <w:tcBorders>
            <w:top w:val="dotted" w:sz="4" w:space="0" w:color="404040" w:themeColor="text1" w:themeTint="BF"/>
            <w:bottom w:val="double" w:sz="4" w:space="0" w:color="404040" w:themeColor="text1" w:themeTint="BF"/>
            <w:right w:val="double" w:sz="4" w:space="0" w:color="404040" w:themeColor="text1" w:themeTint="BF"/>
          </w:tcBorders>
          <w:vAlign w:val="center"/>
        </w:tcPr>
        <w:p w:rsidR="00112247" w:rsidRPr="00353BF6" w:rsidRDefault="009E60C7" w:rsidP="009E60C7">
          <w:pPr>
            <w:rPr>
              <w:rFonts w:ascii="Cambria" w:hAnsi="Cambria"/>
              <w:color w:val="262626" w:themeColor="text1" w:themeTint="D9"/>
              <w:sz w:val="24"/>
              <w:szCs w:val="24"/>
            </w:rPr>
          </w:pPr>
          <w:r>
            <w:rPr>
              <w:rFonts w:ascii="Cambria" w:hAnsi="Cambria"/>
              <w:color w:val="262626" w:themeColor="text1" w:themeTint="D9"/>
              <w:sz w:val="24"/>
              <w:szCs w:val="24"/>
            </w:rPr>
            <w:t>PERSONEL GÖREV DAĞILIMI</w:t>
          </w:r>
        </w:p>
      </w:tc>
    </w:tr>
  </w:tbl>
  <w:p w:rsidR="00112247" w:rsidRPr="00353BF6" w:rsidRDefault="00112247" w:rsidP="0055797A">
    <w:pPr>
      <w:pStyle w:val="stbilgi"/>
      <w:tabs>
        <w:tab w:val="clear" w:pos="4536"/>
        <w:tab w:val="center" w:pos="-4962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D5C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4A2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5283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465F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AB9"/>
    <w:multiLevelType w:val="hybridMultilevel"/>
    <w:tmpl w:val="CD14E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2441"/>
    <w:multiLevelType w:val="hybridMultilevel"/>
    <w:tmpl w:val="8768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36998"/>
    <w:rsid w:val="000A017F"/>
    <w:rsid w:val="000C1247"/>
    <w:rsid w:val="00112247"/>
    <w:rsid w:val="00114F3E"/>
    <w:rsid w:val="0017610C"/>
    <w:rsid w:val="00185DA1"/>
    <w:rsid w:val="001A253B"/>
    <w:rsid w:val="001B6391"/>
    <w:rsid w:val="001C0A99"/>
    <w:rsid w:val="001C5796"/>
    <w:rsid w:val="001D2F36"/>
    <w:rsid w:val="001E2B31"/>
    <w:rsid w:val="002061EC"/>
    <w:rsid w:val="00216C0C"/>
    <w:rsid w:val="002518DD"/>
    <w:rsid w:val="0027274A"/>
    <w:rsid w:val="00291F0F"/>
    <w:rsid w:val="002B492D"/>
    <w:rsid w:val="002C5F58"/>
    <w:rsid w:val="003528D4"/>
    <w:rsid w:val="00353BF6"/>
    <w:rsid w:val="003973EA"/>
    <w:rsid w:val="003F492B"/>
    <w:rsid w:val="004104D6"/>
    <w:rsid w:val="00464DA7"/>
    <w:rsid w:val="0048134C"/>
    <w:rsid w:val="0049329B"/>
    <w:rsid w:val="004B4379"/>
    <w:rsid w:val="00526DB5"/>
    <w:rsid w:val="0055797A"/>
    <w:rsid w:val="00564DB1"/>
    <w:rsid w:val="0057582D"/>
    <w:rsid w:val="005A3F44"/>
    <w:rsid w:val="005C2809"/>
    <w:rsid w:val="005E3B17"/>
    <w:rsid w:val="006047DD"/>
    <w:rsid w:val="00616E1C"/>
    <w:rsid w:val="0066715D"/>
    <w:rsid w:val="006A5CAD"/>
    <w:rsid w:val="006B23AE"/>
    <w:rsid w:val="006D0413"/>
    <w:rsid w:val="006F0039"/>
    <w:rsid w:val="00763708"/>
    <w:rsid w:val="00800275"/>
    <w:rsid w:val="008054F2"/>
    <w:rsid w:val="00806B56"/>
    <w:rsid w:val="008364CD"/>
    <w:rsid w:val="00840431"/>
    <w:rsid w:val="00877ACD"/>
    <w:rsid w:val="008B167B"/>
    <w:rsid w:val="008E2F64"/>
    <w:rsid w:val="009013D6"/>
    <w:rsid w:val="00913B7B"/>
    <w:rsid w:val="009318F0"/>
    <w:rsid w:val="00941F42"/>
    <w:rsid w:val="00960D4C"/>
    <w:rsid w:val="009C4CF2"/>
    <w:rsid w:val="009D140D"/>
    <w:rsid w:val="009E58C0"/>
    <w:rsid w:val="009E60C7"/>
    <w:rsid w:val="00A26403"/>
    <w:rsid w:val="00A717DD"/>
    <w:rsid w:val="00A82604"/>
    <w:rsid w:val="00A82C5D"/>
    <w:rsid w:val="00A838E4"/>
    <w:rsid w:val="00A86EC2"/>
    <w:rsid w:val="00A95760"/>
    <w:rsid w:val="00A97C2F"/>
    <w:rsid w:val="00AC1E55"/>
    <w:rsid w:val="00AD22F0"/>
    <w:rsid w:val="00AD5FBA"/>
    <w:rsid w:val="00AD7D49"/>
    <w:rsid w:val="00AE3F2A"/>
    <w:rsid w:val="00AF4D93"/>
    <w:rsid w:val="00B05E25"/>
    <w:rsid w:val="00B368EF"/>
    <w:rsid w:val="00B53078"/>
    <w:rsid w:val="00B53AF2"/>
    <w:rsid w:val="00B7785C"/>
    <w:rsid w:val="00B859F4"/>
    <w:rsid w:val="00C51184"/>
    <w:rsid w:val="00C77E2A"/>
    <w:rsid w:val="00CB5E9D"/>
    <w:rsid w:val="00CC21FF"/>
    <w:rsid w:val="00CF1740"/>
    <w:rsid w:val="00D12367"/>
    <w:rsid w:val="00D548A8"/>
    <w:rsid w:val="00D6754B"/>
    <w:rsid w:val="00D93AB0"/>
    <w:rsid w:val="00DB2AD0"/>
    <w:rsid w:val="00DC4884"/>
    <w:rsid w:val="00DC4F61"/>
    <w:rsid w:val="00DF3733"/>
    <w:rsid w:val="00E5210E"/>
    <w:rsid w:val="00E52CDC"/>
    <w:rsid w:val="00E83500"/>
    <w:rsid w:val="00EA576D"/>
    <w:rsid w:val="00EC041C"/>
    <w:rsid w:val="00ED661B"/>
    <w:rsid w:val="00EF6CC7"/>
    <w:rsid w:val="00F010A2"/>
    <w:rsid w:val="00F026B6"/>
    <w:rsid w:val="00F10FD8"/>
    <w:rsid w:val="00F16AA5"/>
    <w:rsid w:val="00F41547"/>
    <w:rsid w:val="00F437CB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A5801-F0FE-4936-881B-F72D600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A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8066-D1F0-4F1D-85B0-379E9171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tau_yapı</dc:creator>
  <cp:lastModifiedBy>MEHMET ALI AKCAY</cp:lastModifiedBy>
  <cp:revision>3</cp:revision>
  <cp:lastPrinted>2015-12-01T09:48:00Z</cp:lastPrinted>
  <dcterms:created xsi:type="dcterms:W3CDTF">2019-06-13T05:48:00Z</dcterms:created>
  <dcterms:modified xsi:type="dcterms:W3CDTF">2019-06-13T05:57:00Z</dcterms:modified>
</cp:coreProperties>
</file>