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9E3494" w:rsidP="00315A4D">
            <w:pPr>
              <w:rPr>
                <w:rFonts w:ascii="Cambria" w:hAnsi="Cambria"/>
                <w:color w:val="262626" w:themeColor="text1" w:themeTint="D9"/>
                <w:sz w:val="24"/>
              </w:rPr>
            </w:pPr>
            <w:r>
              <w:rPr>
                <w:rFonts w:ascii="Cambria" w:hAnsi="Cambria"/>
                <w:color w:val="262626" w:themeColor="text1" w:themeTint="D9"/>
                <w:sz w:val="24"/>
              </w:rPr>
              <w:t>Mehmet Ali AKÇAY</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9E3494" w:rsidP="000D1FF3">
            <w:pPr>
              <w:rPr>
                <w:rFonts w:ascii="Cambria" w:hAnsi="Cambria"/>
                <w:color w:val="262626" w:themeColor="text1" w:themeTint="D9"/>
                <w:sz w:val="24"/>
              </w:rPr>
            </w:pPr>
            <w:r>
              <w:rPr>
                <w:rFonts w:ascii="Cambria" w:hAnsi="Cambria"/>
                <w:color w:val="262626" w:themeColor="text1" w:themeTint="D9"/>
                <w:sz w:val="24"/>
              </w:rPr>
              <w:t>Fakülte Sekreteri</w:t>
            </w:r>
            <w:r w:rsidR="00315A4D">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315A4D" w:rsidP="000D1FF3">
            <w:pPr>
              <w:rPr>
                <w:rFonts w:ascii="Cambria" w:hAnsi="Cambria"/>
                <w:color w:val="262626" w:themeColor="text1" w:themeTint="D9"/>
                <w:sz w:val="24"/>
              </w:rPr>
            </w:pPr>
            <w:r>
              <w:rPr>
                <w:rFonts w:ascii="Cambria" w:hAnsi="Cambria"/>
                <w:color w:val="262626" w:themeColor="text1" w:themeTint="D9"/>
                <w:sz w:val="24"/>
              </w:rPr>
              <w:t>Dekan</w:t>
            </w:r>
            <w:r w:rsidR="001D2F36">
              <w:rPr>
                <w:rFonts w:ascii="Cambria" w:hAnsi="Cambria"/>
                <w:color w:val="262626" w:themeColor="text1" w:themeTint="D9"/>
                <w:sz w:val="24"/>
              </w:rPr>
              <w:t xml:space="preserve"> </w:t>
            </w:r>
            <w:r w:rsidR="005B13E7">
              <w:rPr>
                <w:rFonts w:ascii="Cambria" w:hAnsi="Cambria"/>
                <w:color w:val="262626" w:themeColor="text1" w:themeTint="D9"/>
                <w:sz w:val="24"/>
              </w:rPr>
              <w:t xml:space="preserve">Yrd. </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5B13E7" w:rsidP="000D1FF3">
            <w:pPr>
              <w:rPr>
                <w:rFonts w:ascii="Cambria" w:hAnsi="Cambria"/>
                <w:color w:val="262626" w:themeColor="text1" w:themeTint="D9"/>
                <w:sz w:val="24"/>
              </w:rPr>
            </w:pPr>
            <w:r>
              <w:rPr>
                <w:rFonts w:ascii="Cambria" w:hAnsi="Cambria"/>
                <w:color w:val="262626" w:themeColor="text1" w:themeTint="D9"/>
                <w:sz w:val="24"/>
              </w:rPr>
              <w:t>Dekan</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1D2F3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1D2F36" w:rsidRDefault="002518DD" w:rsidP="001D2F36">
            <w:pPr>
              <w:jc w:val="both"/>
              <w:rPr>
                <w:rFonts w:ascii="Cambria" w:hAnsi="Cambria"/>
                <w:b/>
                <w:color w:val="262626" w:themeColor="text1" w:themeTint="D9"/>
                <w:sz w:val="24"/>
              </w:rPr>
            </w:pPr>
          </w:p>
          <w:p w:rsidR="001D2F36" w:rsidRPr="001D2F36" w:rsidRDefault="001D2F36" w:rsidP="001D2F36">
            <w:pPr>
              <w:jc w:val="both"/>
              <w:rPr>
                <w:rFonts w:ascii="Cambria" w:hAnsi="Cambria"/>
                <w:b/>
                <w:color w:val="262626" w:themeColor="text1" w:themeTint="D9"/>
                <w:sz w:val="24"/>
              </w:rPr>
            </w:pPr>
            <w:r w:rsidRPr="001D2F36">
              <w:rPr>
                <w:rFonts w:ascii="Cambria" w:hAnsi="Cambria"/>
                <w:b/>
                <w:color w:val="262626" w:themeColor="text1" w:themeTint="D9"/>
                <w:sz w:val="24"/>
              </w:rPr>
              <w:t xml:space="preserve">İş/Görev Kısa Tanımı: </w:t>
            </w:r>
          </w:p>
          <w:p w:rsidR="001B6391" w:rsidRDefault="005B13E7" w:rsidP="001D2F36">
            <w:pPr>
              <w:jc w:val="both"/>
              <w:rPr>
                <w:rFonts w:ascii="Cambria" w:hAnsi="Cambria"/>
                <w:b/>
                <w:color w:val="262626" w:themeColor="text1" w:themeTint="D9"/>
                <w:sz w:val="24"/>
              </w:rPr>
            </w:pPr>
            <w:r>
              <w:rPr>
                <w:rFonts w:ascii="Cambria" w:hAnsi="Cambria"/>
                <w:color w:val="262626" w:themeColor="text1" w:themeTint="D9"/>
                <w:sz w:val="24"/>
              </w:rPr>
              <w:t>2547 S</w:t>
            </w:r>
            <w:r w:rsidRPr="005B13E7">
              <w:rPr>
                <w:rFonts w:ascii="Cambria" w:hAnsi="Cambria"/>
                <w:color w:val="262626" w:themeColor="text1" w:themeTint="D9"/>
                <w:sz w:val="24"/>
              </w:rPr>
              <w:t>ayılı Yükseköğretim Kanunu</w:t>
            </w:r>
            <w:r>
              <w:rPr>
                <w:rFonts w:ascii="Cambria" w:hAnsi="Cambria"/>
                <w:color w:val="262626" w:themeColor="text1" w:themeTint="D9"/>
                <w:sz w:val="24"/>
              </w:rPr>
              <w:t xml:space="preserve">'nun 51. </w:t>
            </w:r>
            <w:r w:rsidRPr="005B13E7">
              <w:rPr>
                <w:rFonts w:ascii="Cambria" w:hAnsi="Cambria"/>
                <w:color w:val="262626" w:themeColor="text1" w:themeTint="D9"/>
                <w:sz w:val="24"/>
              </w:rPr>
              <w:t xml:space="preserve">maddesi gereğince </w:t>
            </w:r>
            <w:r>
              <w:rPr>
                <w:rFonts w:ascii="Cambria" w:hAnsi="Cambria"/>
                <w:color w:val="262626" w:themeColor="text1" w:themeTint="D9"/>
                <w:sz w:val="24"/>
              </w:rPr>
              <w:t>f</w:t>
            </w:r>
            <w:r w:rsidRPr="005B13E7">
              <w:rPr>
                <w:rFonts w:ascii="Cambria" w:hAnsi="Cambria"/>
                <w:color w:val="262626" w:themeColor="text1" w:themeTint="D9"/>
                <w:sz w:val="24"/>
              </w:rPr>
              <w:t>akültenin üst yönetimi tarafından belirlene</w:t>
            </w:r>
            <w:r>
              <w:rPr>
                <w:rFonts w:ascii="Cambria" w:hAnsi="Cambria"/>
                <w:color w:val="262626" w:themeColor="text1" w:themeTint="D9"/>
                <w:sz w:val="24"/>
              </w:rPr>
              <w:t>n amaç ve ilkelere uygun olarak, eğitim-</w:t>
            </w:r>
            <w:r w:rsidRPr="005B13E7">
              <w:rPr>
                <w:rFonts w:ascii="Cambria" w:hAnsi="Cambria"/>
                <w:color w:val="262626" w:themeColor="text1" w:themeTint="D9"/>
                <w:sz w:val="24"/>
              </w:rPr>
              <w:t xml:space="preserve">öğretimin etkin ve verimli bir şekilde gerçekleştirilmesi amacıyla idari ve akademik işleri planlamak, yönlendirmek ve denetlemek. </w:t>
            </w:r>
          </w:p>
          <w:p w:rsidR="005B13E7" w:rsidRPr="001D2F36" w:rsidRDefault="005B13E7" w:rsidP="001D2F36">
            <w:pPr>
              <w:jc w:val="both"/>
              <w:rPr>
                <w:rFonts w:ascii="Cambria" w:hAnsi="Cambria"/>
                <w:b/>
                <w:color w:val="262626" w:themeColor="text1" w:themeTint="D9"/>
                <w:sz w:val="24"/>
              </w:rPr>
            </w:pPr>
          </w:p>
          <w:p w:rsidR="001D2F36" w:rsidRPr="001D2F36" w:rsidRDefault="001D2F36" w:rsidP="001D2F36">
            <w:pPr>
              <w:jc w:val="both"/>
              <w:rPr>
                <w:rFonts w:ascii="Cambria" w:hAnsi="Cambria"/>
                <w:b/>
                <w:color w:val="404040" w:themeColor="text1" w:themeTint="BF"/>
                <w:sz w:val="24"/>
              </w:rPr>
            </w:pPr>
            <w:r w:rsidRPr="001D2F36">
              <w:rPr>
                <w:rFonts w:ascii="Cambria" w:hAnsi="Cambria"/>
                <w:b/>
                <w:color w:val="404040" w:themeColor="text1" w:themeTint="BF"/>
                <w:sz w:val="24"/>
              </w:rPr>
              <w:t>İş</w:t>
            </w:r>
            <w:r w:rsidR="00315A4D">
              <w:rPr>
                <w:rFonts w:ascii="Cambria" w:hAnsi="Cambria"/>
                <w:b/>
                <w:color w:val="404040" w:themeColor="text1" w:themeTint="BF"/>
                <w:sz w:val="24"/>
              </w:rPr>
              <w:t>i</w:t>
            </w:r>
            <w:r w:rsidRPr="001D2F36">
              <w:rPr>
                <w:rFonts w:ascii="Cambria" w:hAnsi="Cambria"/>
                <w:b/>
                <w:color w:val="404040" w:themeColor="text1" w:themeTint="BF"/>
                <w:sz w:val="24"/>
              </w:rPr>
              <w:t>/</w:t>
            </w:r>
            <w:proofErr w:type="gramStart"/>
            <w:r w:rsidRPr="001D2F36">
              <w:rPr>
                <w:rFonts w:ascii="Cambria" w:hAnsi="Cambria"/>
                <w:b/>
                <w:color w:val="404040" w:themeColor="text1" w:themeTint="BF"/>
                <w:sz w:val="24"/>
              </w:rPr>
              <w:t>Görevi :</w:t>
            </w:r>
            <w:proofErr w:type="gramEnd"/>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xml:space="preserve">• Fakülte Kurulu ve Fakülte Yönetim Kurulu gündemlerini hazırlatmak, ilgililere duyurmak ve toplantılara </w:t>
            </w:r>
            <w:proofErr w:type="gramStart"/>
            <w:r w:rsidRPr="005B13E7">
              <w:rPr>
                <w:rFonts w:ascii="Cambria" w:hAnsi="Cambria"/>
                <w:color w:val="404040" w:themeColor="text1" w:themeTint="BF"/>
                <w:sz w:val="24"/>
              </w:rPr>
              <w:t>raportör</w:t>
            </w:r>
            <w:proofErr w:type="gramEnd"/>
            <w:r w:rsidRPr="005B13E7">
              <w:rPr>
                <w:rFonts w:ascii="Cambria" w:hAnsi="Cambria"/>
                <w:color w:val="404040" w:themeColor="text1" w:themeTint="BF"/>
                <w:sz w:val="24"/>
              </w:rPr>
              <w:t xml:space="preserve"> olarak katılmak.</w:t>
            </w:r>
            <w:r>
              <w:rPr>
                <w:rFonts w:ascii="Cambria" w:hAnsi="Cambria"/>
                <w:color w:val="404040" w:themeColor="text1" w:themeTint="BF"/>
                <w:sz w:val="24"/>
              </w:rPr>
              <w:t xml:space="preserve"> </w:t>
            </w:r>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Fakülte Kurulu ve Fakülte Yönetim Kurulunda alınan kararların yazılması, ilgililere dağıtılması ve arşivlenmesini sağlamak.</w:t>
            </w:r>
            <w:proofErr w:type="gramEnd"/>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Elektronik Belge Yönetim Sistemi üzerinden Fakülteye gelen yazıları ilgili birim ve kişilere sevk etmek, gereği ile cevap yazılarının hazırlanmasını, günlük işlerin imza takibinin yapılmasını ve sonuçlandırılmasını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Fakültenin kurum içi ve kurum dışı yazışma/belgelerini kontrol etmek.</w:t>
            </w:r>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Fak</w:t>
            </w:r>
            <w:r w:rsidR="00C8037D">
              <w:rPr>
                <w:rFonts w:ascii="Cambria" w:hAnsi="Cambria"/>
                <w:color w:val="404040" w:themeColor="text1" w:themeTint="BF"/>
                <w:sz w:val="24"/>
              </w:rPr>
              <w:t>ülte yazışmalarını paraf etmek.</w:t>
            </w:r>
            <w:proofErr w:type="gramEnd"/>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xml:space="preserve">• Fakülte Sekreterliği ve bağlı birim çalışanlarının görev, yetki ve sorumluluklarına ve ilgili diğer mevzuata uygun hareket etmelerini sağlamak, ihtiyaç durumunda farklı görevler için görevlendirme ile bunlara ait yetki ve sorumlulukları belirleyerek </w:t>
            </w:r>
            <w:r w:rsidR="00C8037D">
              <w:rPr>
                <w:rFonts w:ascii="Cambria" w:hAnsi="Cambria"/>
                <w:color w:val="404040" w:themeColor="text1" w:themeTint="BF"/>
                <w:sz w:val="24"/>
              </w:rPr>
              <w:t>f</w:t>
            </w:r>
            <w:r w:rsidRPr="005B13E7">
              <w:rPr>
                <w:rFonts w:ascii="Cambria" w:hAnsi="Cambria"/>
                <w:color w:val="404040" w:themeColor="text1" w:themeTint="BF"/>
                <w:sz w:val="24"/>
              </w:rPr>
              <w:t>akültede kesintisiz hizmeti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Fakülte idari personelinin işi ile ilgili kurs, eğitim vb. katılımını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xml:space="preserve">• İdari personelin mesaiye devamlarını takip etmek, izinlerini </w:t>
            </w:r>
            <w:r w:rsidR="00C8037D">
              <w:rPr>
                <w:rFonts w:ascii="Cambria" w:hAnsi="Cambria"/>
                <w:color w:val="404040" w:themeColor="text1" w:themeTint="BF"/>
                <w:sz w:val="24"/>
              </w:rPr>
              <w:t>f</w:t>
            </w:r>
            <w:r w:rsidRPr="005B13E7">
              <w:rPr>
                <w:rFonts w:ascii="Cambria" w:hAnsi="Cambria"/>
                <w:color w:val="404040" w:themeColor="text1" w:themeTint="BF"/>
                <w:sz w:val="24"/>
              </w:rPr>
              <w:t>akültedeki işleyişi aksatmayacak biçimde düzenlemek, onaylamak ve Dekanlık makamına sunmak.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Fakültenin idari bürolarında görevlendirilecek personel hakkında Dekana öneride bulunmak ve personelin kadro ihtiyaçlarını planlamak.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Akademik, idari personelin özlük haklarına ilişkin yasa ve yönetmeliklerin takibini yapmak ve uygulanmasını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Akademik ve idari personelin maaş, ek ders, terfi gibi işlemlerinin muhasebeleştirilmesini gerçekleştirme görevlisi olarak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Fakülteye alınacak akademik personelin sınav işlemlerini, görevlendirmelerini ve süre yenilemelerini takip etmek.</w:t>
            </w:r>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Sorumluluğundaki işleri düzenli ve uyumlu bir şekilde mevzuata uygun olarak planlamak, yürütmek, koordine etmek ve denetlemek.</w:t>
            </w:r>
            <w:proofErr w:type="gramEnd"/>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Fakültenin ihtiyaç duyduğu mal ve hizmetlerin alımını planlamak ve takip etmek.</w:t>
            </w:r>
            <w:proofErr w:type="gramEnd"/>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Fakülteye ait mal ve malzemelerin demirbaş kayıtları ile ambar giriş ve çıkışlarının yapılmasını sağlamak ve takip etmek.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lastRenderedPageBreak/>
              <w:t>• Fakültenin mali yıl bütçe hazırlıklarını yapmak ve yıl içerisinde kaynakların verimli ve ekonomik şekilde kullanılmasını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Faaliyet Raporu, iç denetim, stratejik plan hazırlama çalışmalarına katılmak, sonuçlarını takip ederek zamanında ilgili birimlere ulaşmasını sağlamak.</w:t>
            </w:r>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Fakültede öğrenci işlerinin düzenli bir biçimde yürütülmesini sağlamak.</w:t>
            </w:r>
          </w:p>
          <w:p w:rsidR="005B13E7" w:rsidRPr="005B13E7" w:rsidRDefault="005B13E7" w:rsidP="005B13E7">
            <w:pPr>
              <w:jc w:val="both"/>
              <w:rPr>
                <w:rFonts w:ascii="Cambria" w:hAnsi="Cambria"/>
                <w:color w:val="404040" w:themeColor="text1" w:themeTint="BF"/>
                <w:sz w:val="24"/>
              </w:rPr>
            </w:pPr>
            <w:proofErr w:type="gramEnd"/>
            <w:r w:rsidRPr="005B13E7">
              <w:rPr>
                <w:rFonts w:ascii="Cambria" w:hAnsi="Cambria"/>
                <w:color w:val="404040" w:themeColor="text1" w:themeTint="BF"/>
                <w:sz w:val="24"/>
              </w:rPr>
              <w:t>• Yatay Geçiş başvurularını almak, ilgili komisyonlarca değerlendirilmelerini sağlayarak kabul edilen öğrencilerin duyurularını yapmak.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Her akademik dönem başında, ilgili bölümlerin derslerini öğrenci bilgi sistemine açmak ve dersi yürütecek öğretim üyelerinin sisteme tanımlanmasını yapmak.</w:t>
            </w:r>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Öğrencilerin Akademik Takvimde belirtilen akademik dönem başında ders kay</w:t>
            </w:r>
            <w:r w:rsidR="00C8037D">
              <w:rPr>
                <w:rFonts w:ascii="Cambria" w:hAnsi="Cambria"/>
                <w:color w:val="404040" w:themeColor="text1" w:themeTint="BF"/>
                <w:sz w:val="24"/>
              </w:rPr>
              <w:t>ıtlarının yapılmasını sağlamak.</w:t>
            </w:r>
            <w:proofErr w:type="gramEnd"/>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xml:space="preserve">• </w:t>
            </w:r>
            <w:bookmarkStart w:id="0" w:name="_GoBack"/>
            <w:r w:rsidRPr="005B13E7">
              <w:rPr>
                <w:rFonts w:ascii="Cambria" w:hAnsi="Cambria"/>
                <w:color w:val="404040" w:themeColor="text1" w:themeTint="BF"/>
                <w:sz w:val="24"/>
              </w:rPr>
              <w:t>Ara sınav ve dönem sonu sınavlarının notlarının Akademik Takvimde belirtilen süre içinde öğrenci bilgi sistemine işlenmesini sağlamak.</w:t>
            </w:r>
            <w:bookmarkEnd w:id="0"/>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Ara sınav ve dönem sonu sınav evraklarını hazırlamak ve sınav sonuç evraklarının to</w:t>
            </w:r>
            <w:r w:rsidR="006F2CD0">
              <w:rPr>
                <w:rFonts w:ascii="Cambria" w:hAnsi="Cambria"/>
                <w:color w:val="404040" w:themeColor="text1" w:themeTint="BF"/>
                <w:sz w:val="24"/>
              </w:rPr>
              <w:t>planıp arşivlenmesini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Öğrencilerden talep ve dilekçeleri değerlen</w:t>
            </w:r>
            <w:r w:rsidR="006F2CD0">
              <w:rPr>
                <w:rFonts w:ascii="Cambria" w:hAnsi="Cambria"/>
                <w:color w:val="404040" w:themeColor="text1" w:themeTint="BF"/>
                <w:sz w:val="24"/>
              </w:rPr>
              <w:t>dirilmesi için yönetime sunmak.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Öğretim elemanlarının gereksinimi olan ders araçlarını sağlamak ve derslerin etkin bir biçimde yürütülmesi için gerekli desteği sağlamak.</w:t>
            </w:r>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Bina bakım onarımı ile ilgili işlerin tespitini yapmak, ilgili birimlere iletmek ve takip etmek.</w:t>
            </w:r>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Fakültenin konferans, seminer, ziyaret ve tören işlerinin organizasyonunu sağlamak ve gerekli yazışmaları yapmak.</w:t>
            </w:r>
            <w:proofErr w:type="gramEnd"/>
          </w:p>
          <w:p w:rsidR="005B13E7" w:rsidRPr="005B13E7" w:rsidRDefault="005B13E7" w:rsidP="005B13E7">
            <w:pPr>
              <w:jc w:val="both"/>
              <w:rPr>
                <w:rFonts w:ascii="Cambria" w:hAnsi="Cambria"/>
                <w:color w:val="404040" w:themeColor="text1" w:themeTint="BF"/>
                <w:sz w:val="24"/>
              </w:rPr>
            </w:pPr>
            <w:r w:rsidRPr="005B13E7">
              <w:rPr>
                <w:rFonts w:ascii="Cambria" w:hAnsi="Cambria"/>
                <w:color w:val="404040" w:themeColor="text1" w:themeTint="BF"/>
                <w:sz w:val="24"/>
              </w:rPr>
              <w:t>• Rektörlük ve Genel Sekreterlikçe organize edilen toplantılara katılmak.</w:t>
            </w:r>
          </w:p>
          <w:p w:rsidR="005B13E7" w:rsidRPr="005B13E7"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Fakülteye gelen ilan ve duyuruları yaptırmak.</w:t>
            </w:r>
            <w:proofErr w:type="gramEnd"/>
          </w:p>
          <w:p w:rsidR="001D2F36" w:rsidRDefault="005B13E7" w:rsidP="005B13E7">
            <w:pPr>
              <w:jc w:val="both"/>
              <w:rPr>
                <w:rFonts w:ascii="Cambria" w:hAnsi="Cambria"/>
                <w:color w:val="404040" w:themeColor="text1" w:themeTint="BF"/>
                <w:sz w:val="24"/>
              </w:rPr>
            </w:pPr>
            <w:proofErr w:type="gramStart"/>
            <w:r w:rsidRPr="005B13E7">
              <w:rPr>
                <w:rFonts w:ascii="Cambria" w:hAnsi="Cambria"/>
                <w:color w:val="404040" w:themeColor="text1" w:themeTint="BF"/>
                <w:sz w:val="24"/>
              </w:rPr>
              <w:t>• Dekan ve Dekan Yardımcılarının vereceği diğer görevleri yapmak.</w:t>
            </w:r>
            <w:r>
              <w:rPr>
                <w:rFonts w:ascii="Cambria" w:hAnsi="Cambria"/>
                <w:color w:val="404040" w:themeColor="text1" w:themeTint="BF"/>
                <w:sz w:val="24"/>
              </w:rPr>
              <w:t xml:space="preserve"> </w:t>
            </w:r>
            <w:proofErr w:type="gramEnd"/>
          </w:p>
          <w:p w:rsidR="005B13E7" w:rsidRPr="001D2F36" w:rsidRDefault="005B13E7" w:rsidP="005B13E7">
            <w:pPr>
              <w:jc w:val="both"/>
              <w:rPr>
                <w:rFonts w:ascii="Cambria" w:hAnsi="Cambria"/>
                <w:color w:val="404040" w:themeColor="text1" w:themeTint="BF"/>
                <w:sz w:val="24"/>
              </w:rPr>
            </w:pPr>
          </w:p>
        </w:tc>
      </w:tr>
    </w:tbl>
    <w:p w:rsidR="00E5210E" w:rsidRPr="001D2F36" w:rsidRDefault="00E5210E" w:rsidP="001D2F36">
      <w:pPr>
        <w:jc w:val="both"/>
        <w:rPr>
          <w:rFonts w:ascii="Cambria" w:hAnsi="Cambria"/>
          <w:color w:val="262626" w:themeColor="text1" w:themeTint="D9"/>
          <w:sz w:val="4"/>
        </w:rPr>
      </w:pPr>
    </w:p>
    <w:sectPr w:rsidR="00E5210E" w:rsidRPr="001D2F36" w:rsidSect="00AE3F2A">
      <w:headerReference w:type="default" r:id="rId8"/>
      <w:footerReference w:type="default" r:id="rId9"/>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16" w:rsidRDefault="00974E16" w:rsidP="00112247">
      <w:r>
        <w:separator/>
      </w:r>
    </w:p>
  </w:endnote>
  <w:endnote w:type="continuationSeparator" w:id="0">
    <w:p w:rsidR="00974E16" w:rsidRDefault="00974E16"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31" w:rsidRDefault="00840431">
    <w:pPr>
      <w:pStyle w:val="Altbilgi"/>
      <w:jc w:val="right"/>
    </w:pPr>
  </w:p>
  <w:p w:rsidR="00840431" w:rsidRDefault="00974E16">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C8037D">
              <w:rPr>
                <w:b/>
                <w:bCs/>
                <w:noProof/>
              </w:rPr>
              <w:t>2</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C8037D">
              <w:rPr>
                <w:b/>
                <w:bCs/>
                <w:noProof/>
              </w:rPr>
              <w:t>2</w:t>
            </w:r>
            <w:r w:rsidR="00840431">
              <w:rPr>
                <w:b/>
                <w:bCs/>
                <w:sz w:val="24"/>
                <w:szCs w:val="24"/>
              </w:rPr>
              <w:fldChar w:fldCharType="end"/>
            </w:r>
          </w:sdtContent>
        </w:sdt>
      </w:sdtContent>
    </w:sdt>
  </w:p>
  <w:p w:rsidR="00AE3F2A" w:rsidRDefault="00AE3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16" w:rsidRDefault="00974E16" w:rsidP="00112247">
      <w:r>
        <w:separator/>
      </w:r>
    </w:p>
  </w:footnote>
  <w:footnote w:type="continuationSeparator" w:id="0">
    <w:p w:rsidR="00974E16" w:rsidRDefault="00974E16" w:rsidP="0011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1D2F36" w:rsidP="001D2F36">
          <w:pPr>
            <w:rPr>
              <w:rFonts w:ascii="Cambria" w:hAnsi="Cambria"/>
              <w:b/>
              <w:color w:val="262626" w:themeColor="text1" w:themeTint="D9"/>
              <w:sz w:val="22"/>
            </w:rPr>
          </w:pPr>
          <w:r>
            <w:rPr>
              <w:rFonts w:ascii="Cambria" w:hAnsi="Cambria"/>
              <w:b/>
              <w:color w:val="262626" w:themeColor="text1" w:themeTint="D9"/>
              <w:sz w:val="22"/>
            </w:rPr>
            <w:t>10</w:t>
          </w:r>
          <w:r w:rsidR="00840431"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Pr>
              <w:rFonts w:ascii="Cambria" w:hAnsi="Cambria"/>
              <w:b/>
              <w:color w:val="262626" w:themeColor="text1" w:themeTint="D9"/>
              <w:sz w:val="22"/>
            </w:rPr>
            <w:t>6</w:t>
          </w:r>
          <w:r w:rsidR="004B4379" w:rsidRPr="00353BF6">
            <w:rPr>
              <w:rFonts w:ascii="Cambria" w:hAnsi="Cambria"/>
              <w:b/>
              <w:color w:val="262626" w:themeColor="text1" w:themeTint="D9"/>
              <w:sz w:val="22"/>
            </w:rPr>
            <w:t>.2019</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9E60C7" w:rsidP="009E60C7">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36998"/>
    <w:rsid w:val="000A017F"/>
    <w:rsid w:val="000C1247"/>
    <w:rsid w:val="000C1FF2"/>
    <w:rsid w:val="000D5553"/>
    <w:rsid w:val="00112247"/>
    <w:rsid w:val="0017610C"/>
    <w:rsid w:val="00185DA1"/>
    <w:rsid w:val="001A253B"/>
    <w:rsid w:val="001B6391"/>
    <w:rsid w:val="001C0A99"/>
    <w:rsid w:val="001C5796"/>
    <w:rsid w:val="001D2F36"/>
    <w:rsid w:val="001E2B31"/>
    <w:rsid w:val="002061EC"/>
    <w:rsid w:val="00216C0C"/>
    <w:rsid w:val="002518DD"/>
    <w:rsid w:val="0027274A"/>
    <w:rsid w:val="00291F0F"/>
    <w:rsid w:val="002B492D"/>
    <w:rsid w:val="002C5F58"/>
    <w:rsid w:val="00315A4D"/>
    <w:rsid w:val="003528D4"/>
    <w:rsid w:val="00353BF6"/>
    <w:rsid w:val="003973EA"/>
    <w:rsid w:val="003F492B"/>
    <w:rsid w:val="004104D6"/>
    <w:rsid w:val="00426709"/>
    <w:rsid w:val="00464DA7"/>
    <w:rsid w:val="0048134C"/>
    <w:rsid w:val="0049329B"/>
    <w:rsid w:val="004B4379"/>
    <w:rsid w:val="00526DB5"/>
    <w:rsid w:val="0055797A"/>
    <w:rsid w:val="00564DB1"/>
    <w:rsid w:val="0057582D"/>
    <w:rsid w:val="005A3F44"/>
    <w:rsid w:val="005B13E7"/>
    <w:rsid w:val="005C2809"/>
    <w:rsid w:val="005E3B17"/>
    <w:rsid w:val="006047DD"/>
    <w:rsid w:val="00616E1C"/>
    <w:rsid w:val="0066715D"/>
    <w:rsid w:val="006A5CAD"/>
    <w:rsid w:val="006B23AE"/>
    <w:rsid w:val="006D0413"/>
    <w:rsid w:val="006F0039"/>
    <w:rsid w:val="006F2CD0"/>
    <w:rsid w:val="00763708"/>
    <w:rsid w:val="00800275"/>
    <w:rsid w:val="008054F2"/>
    <w:rsid w:val="00806B56"/>
    <w:rsid w:val="008364CD"/>
    <w:rsid w:val="00840431"/>
    <w:rsid w:val="00855B61"/>
    <w:rsid w:val="00877ACD"/>
    <w:rsid w:val="008B167B"/>
    <w:rsid w:val="008E2F64"/>
    <w:rsid w:val="009013D6"/>
    <w:rsid w:val="00913B7B"/>
    <w:rsid w:val="009318F0"/>
    <w:rsid w:val="00941F42"/>
    <w:rsid w:val="00960D4C"/>
    <w:rsid w:val="00974E16"/>
    <w:rsid w:val="009C4CF2"/>
    <w:rsid w:val="009D140D"/>
    <w:rsid w:val="009E3494"/>
    <w:rsid w:val="009E58C0"/>
    <w:rsid w:val="009E60C7"/>
    <w:rsid w:val="00A26403"/>
    <w:rsid w:val="00A717DD"/>
    <w:rsid w:val="00A82604"/>
    <w:rsid w:val="00A82C5D"/>
    <w:rsid w:val="00A838E4"/>
    <w:rsid w:val="00A86EC2"/>
    <w:rsid w:val="00A95760"/>
    <w:rsid w:val="00A97C2F"/>
    <w:rsid w:val="00AC1E55"/>
    <w:rsid w:val="00AD22F0"/>
    <w:rsid w:val="00AD5FBA"/>
    <w:rsid w:val="00AD7D49"/>
    <w:rsid w:val="00AE3F2A"/>
    <w:rsid w:val="00AF4D93"/>
    <w:rsid w:val="00B05E25"/>
    <w:rsid w:val="00B368EF"/>
    <w:rsid w:val="00B53078"/>
    <w:rsid w:val="00B53AF2"/>
    <w:rsid w:val="00B7785C"/>
    <w:rsid w:val="00B859F4"/>
    <w:rsid w:val="00C51184"/>
    <w:rsid w:val="00C77E2A"/>
    <w:rsid w:val="00C8037D"/>
    <w:rsid w:val="00CB5E9D"/>
    <w:rsid w:val="00CC21FF"/>
    <w:rsid w:val="00CF1740"/>
    <w:rsid w:val="00D12367"/>
    <w:rsid w:val="00D548A8"/>
    <w:rsid w:val="00D6754B"/>
    <w:rsid w:val="00D93AB0"/>
    <w:rsid w:val="00DB2AD0"/>
    <w:rsid w:val="00DC4884"/>
    <w:rsid w:val="00DC4F61"/>
    <w:rsid w:val="00DF3733"/>
    <w:rsid w:val="00E5210E"/>
    <w:rsid w:val="00E52CDC"/>
    <w:rsid w:val="00E83500"/>
    <w:rsid w:val="00EA576D"/>
    <w:rsid w:val="00EC041C"/>
    <w:rsid w:val="00ED661B"/>
    <w:rsid w:val="00EF6CC7"/>
    <w:rsid w:val="00F010A2"/>
    <w:rsid w:val="00F026B6"/>
    <w:rsid w:val="00F10FD8"/>
    <w:rsid w:val="00F16AA5"/>
    <w:rsid w:val="00F41547"/>
    <w:rsid w:val="00F437CB"/>
    <w:rsid w:val="00F60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1173">
      <w:bodyDiv w:val="1"/>
      <w:marLeft w:val="0"/>
      <w:marRight w:val="0"/>
      <w:marTop w:val="0"/>
      <w:marBottom w:val="0"/>
      <w:divBdr>
        <w:top w:val="none" w:sz="0" w:space="0" w:color="auto"/>
        <w:left w:val="none" w:sz="0" w:space="0" w:color="auto"/>
        <w:bottom w:val="none" w:sz="0" w:space="0" w:color="auto"/>
        <w:right w:val="none" w:sz="0" w:space="0" w:color="auto"/>
      </w:divBdr>
    </w:div>
    <w:div w:id="1403604926">
      <w:bodyDiv w:val="1"/>
      <w:marLeft w:val="0"/>
      <w:marRight w:val="0"/>
      <w:marTop w:val="0"/>
      <w:marBottom w:val="0"/>
      <w:divBdr>
        <w:top w:val="none" w:sz="0" w:space="0" w:color="auto"/>
        <w:left w:val="none" w:sz="0" w:space="0" w:color="auto"/>
        <w:bottom w:val="none" w:sz="0" w:space="0" w:color="auto"/>
        <w:right w:val="none" w:sz="0" w:space="0" w:color="auto"/>
      </w:divBdr>
    </w:div>
    <w:div w:id="17624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2B0E-E1BF-4BF5-B5F7-25E3E33C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tau_yapı</dc:creator>
  <cp:lastModifiedBy>MEHMET ALI AKCAY</cp:lastModifiedBy>
  <cp:revision>3</cp:revision>
  <cp:lastPrinted>2015-12-01T09:48:00Z</cp:lastPrinted>
  <dcterms:created xsi:type="dcterms:W3CDTF">2019-06-13T06:10:00Z</dcterms:created>
  <dcterms:modified xsi:type="dcterms:W3CDTF">2019-06-13T07:40:00Z</dcterms:modified>
</cp:coreProperties>
</file>