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244EA" w14:textId="19C4AED2" w:rsidR="00316FC2" w:rsidRPr="0010361D" w:rsidRDefault="0032074F" w:rsidP="0032074F">
      <w:pPr>
        <w:tabs>
          <w:tab w:val="left" w:pos="566"/>
        </w:tabs>
        <w:spacing w:line="240" w:lineRule="exact"/>
        <w:jc w:val="both"/>
        <w:rPr>
          <w:b/>
          <w:sz w:val="16"/>
          <w:szCs w:val="16"/>
        </w:rPr>
      </w:pPr>
      <w:r w:rsidRPr="0010361D">
        <w:rPr>
          <w:b/>
          <w:sz w:val="16"/>
          <w:szCs w:val="16"/>
        </w:rPr>
        <w:t xml:space="preserve">            </w:t>
      </w:r>
      <w:r w:rsidR="00C1079B">
        <w:rPr>
          <w:b/>
          <w:sz w:val="16"/>
          <w:szCs w:val="16"/>
        </w:rPr>
        <w:t>Nicht als F&amp;E oder Innovationstätigkeiten anerkannte Aktivitäten</w:t>
      </w:r>
    </w:p>
    <w:p w14:paraId="1C0AA4D8" w14:textId="644243ED" w:rsidR="00221924" w:rsidRPr="0010361D" w:rsidRDefault="00C1079B" w:rsidP="00221924">
      <w:pPr>
        <w:tabs>
          <w:tab w:val="left" w:pos="566"/>
        </w:tabs>
        <w:spacing w:line="240" w:lineRule="exact"/>
        <w:ind w:firstLine="566"/>
        <w:jc w:val="both"/>
        <w:rPr>
          <w:sz w:val="16"/>
          <w:szCs w:val="16"/>
        </w:rPr>
      </w:pPr>
      <w:r>
        <w:rPr>
          <w:b/>
          <w:sz w:val="16"/>
          <w:szCs w:val="16"/>
        </w:rPr>
        <w:t>ARTIKEL</w:t>
      </w:r>
      <w:r w:rsidR="00221924" w:rsidRPr="0010361D">
        <w:rPr>
          <w:b/>
          <w:sz w:val="16"/>
          <w:szCs w:val="16"/>
        </w:rPr>
        <w:t xml:space="preserve"> 5 –</w:t>
      </w:r>
      <w:r w:rsidR="00221924" w:rsidRPr="0010361D">
        <w:rPr>
          <w:sz w:val="16"/>
          <w:szCs w:val="16"/>
        </w:rPr>
        <w:t xml:space="preserve"> (1) </w:t>
      </w:r>
      <w:r>
        <w:rPr>
          <w:sz w:val="16"/>
          <w:szCs w:val="16"/>
        </w:rPr>
        <w:t>Die im Folgenden genannten Tätigkeiten gelten im Sinne dieser Verordnung nicht als Forschung-, Entwicklungs- oder Innovationsaktivitäten.</w:t>
      </w:r>
    </w:p>
    <w:p w14:paraId="5F62B228" w14:textId="000E84C6" w:rsidR="00221924" w:rsidRPr="0010361D" w:rsidRDefault="00221924" w:rsidP="00221924">
      <w:pPr>
        <w:tabs>
          <w:tab w:val="left" w:pos="566"/>
        </w:tabs>
        <w:spacing w:line="240" w:lineRule="exact"/>
        <w:ind w:firstLine="566"/>
        <w:jc w:val="both"/>
        <w:rPr>
          <w:sz w:val="16"/>
          <w:szCs w:val="16"/>
        </w:rPr>
      </w:pPr>
      <w:r w:rsidRPr="0010361D">
        <w:rPr>
          <w:sz w:val="16"/>
          <w:szCs w:val="16"/>
        </w:rPr>
        <w:t xml:space="preserve">a) </w:t>
      </w:r>
      <w:r w:rsidR="00C1079B" w:rsidRPr="00C1079B">
        <w:rPr>
          <w:sz w:val="16"/>
          <w:szCs w:val="16"/>
        </w:rPr>
        <w:t>Marketingaktivitäten, Marktanalysen, Marktforschung oder Verkaufsförderungsmaßnahmen,</w:t>
      </w:r>
    </w:p>
    <w:p w14:paraId="68599181" w14:textId="483A93AF" w:rsidR="00221924" w:rsidRPr="0010361D" w:rsidRDefault="00221924" w:rsidP="00221924">
      <w:pPr>
        <w:tabs>
          <w:tab w:val="left" w:pos="566"/>
        </w:tabs>
        <w:spacing w:line="240" w:lineRule="exact"/>
        <w:ind w:firstLine="566"/>
        <w:jc w:val="both"/>
        <w:rPr>
          <w:sz w:val="16"/>
          <w:szCs w:val="16"/>
        </w:rPr>
      </w:pPr>
      <w:r w:rsidRPr="0010361D">
        <w:rPr>
          <w:sz w:val="16"/>
          <w:szCs w:val="16"/>
        </w:rPr>
        <w:t xml:space="preserve">b) </w:t>
      </w:r>
      <w:r w:rsidR="00C1079B" w:rsidRPr="00C1079B">
        <w:rPr>
          <w:sz w:val="16"/>
          <w:szCs w:val="16"/>
        </w:rPr>
        <w:t>Qualitätssicherungs,</w:t>
      </w:r>
    </w:p>
    <w:p w14:paraId="4F2FEE0F" w14:textId="5B3780A5" w:rsidR="00221924" w:rsidRPr="0010361D" w:rsidRDefault="00221924" w:rsidP="00221924">
      <w:pPr>
        <w:tabs>
          <w:tab w:val="left" w:pos="566"/>
        </w:tabs>
        <w:spacing w:line="240" w:lineRule="exact"/>
        <w:ind w:firstLine="566"/>
        <w:jc w:val="both"/>
        <w:rPr>
          <w:sz w:val="16"/>
          <w:szCs w:val="16"/>
        </w:rPr>
      </w:pPr>
      <w:r w:rsidRPr="0010361D">
        <w:rPr>
          <w:sz w:val="16"/>
          <w:szCs w:val="16"/>
        </w:rPr>
        <w:t xml:space="preserve">c) </w:t>
      </w:r>
      <w:r w:rsidR="00C1079B" w:rsidRPr="00C1079B">
        <w:rPr>
          <w:sz w:val="16"/>
          <w:szCs w:val="16"/>
        </w:rPr>
        <w:t>Forschungen im Bereich der Sozialwissenschaften,</w:t>
      </w:r>
    </w:p>
    <w:p w14:paraId="7CCC9A60" w14:textId="6657F8F3" w:rsidR="00221924" w:rsidRPr="0010361D" w:rsidRDefault="00C1079B" w:rsidP="00221924">
      <w:pPr>
        <w:tabs>
          <w:tab w:val="left" w:pos="566"/>
        </w:tabs>
        <w:spacing w:line="240" w:lineRule="exact"/>
        <w:ind w:firstLine="566"/>
        <w:jc w:val="both"/>
        <w:rPr>
          <w:sz w:val="16"/>
          <w:szCs w:val="16"/>
        </w:rPr>
      </w:pPr>
      <w:r>
        <w:rPr>
          <w:sz w:val="16"/>
          <w:szCs w:val="16"/>
        </w:rPr>
        <w:t>e</w:t>
      </w:r>
      <w:r w:rsidR="00221924" w:rsidRPr="0010361D">
        <w:rPr>
          <w:sz w:val="16"/>
          <w:szCs w:val="16"/>
        </w:rPr>
        <w:t xml:space="preserve">) </w:t>
      </w:r>
      <w:r w:rsidRPr="00C1079B">
        <w:rPr>
          <w:sz w:val="16"/>
          <w:szCs w:val="16"/>
        </w:rPr>
        <w:t>Erkundungs- und Bohrtätigkeiten im Zusammenhang mit Erdöl-, Erdgas- und Mineralreserven,</w:t>
      </w:r>
    </w:p>
    <w:p w14:paraId="504B486A" w14:textId="33E8DA81" w:rsidR="00221924" w:rsidRPr="0010361D" w:rsidRDefault="00221924" w:rsidP="00221924">
      <w:pPr>
        <w:tabs>
          <w:tab w:val="left" w:pos="566"/>
        </w:tabs>
        <w:spacing w:line="240" w:lineRule="exact"/>
        <w:ind w:firstLine="566"/>
        <w:jc w:val="both"/>
        <w:rPr>
          <w:sz w:val="16"/>
          <w:szCs w:val="16"/>
        </w:rPr>
      </w:pPr>
      <w:r w:rsidRPr="0010361D">
        <w:rPr>
          <w:sz w:val="16"/>
          <w:szCs w:val="16"/>
        </w:rPr>
        <w:t xml:space="preserve">d) </w:t>
      </w:r>
      <w:r w:rsidR="00C1079B" w:rsidRPr="00C1079B">
        <w:rPr>
          <w:sz w:val="16"/>
          <w:szCs w:val="16"/>
        </w:rPr>
        <w:t>Klinische Studien, von denen vor der Erteilung der Arzneimittelproduktionsgenehmigung mindestens zwei Phasen nicht im Inland durchgeführt wurden, sowie klinische Studien, die nach der Erteilung der Produktionsgenehmigung durchgeführt werden,</w:t>
      </w:r>
    </w:p>
    <w:p w14:paraId="48C17118" w14:textId="77777777" w:rsidR="006E3952" w:rsidRDefault="00221924" w:rsidP="00221924">
      <w:pPr>
        <w:tabs>
          <w:tab w:val="left" w:pos="566"/>
        </w:tabs>
        <w:spacing w:line="240" w:lineRule="exact"/>
        <w:ind w:firstLine="566"/>
        <w:jc w:val="both"/>
      </w:pPr>
      <w:r w:rsidRPr="0010361D">
        <w:rPr>
          <w:sz w:val="16"/>
          <w:szCs w:val="16"/>
        </w:rPr>
        <w:t xml:space="preserve">e) </w:t>
      </w:r>
      <w:r w:rsidR="006E3952" w:rsidRPr="006E3952">
        <w:rPr>
          <w:sz w:val="16"/>
          <w:szCs w:val="16"/>
        </w:rPr>
        <w:t>Die Nutzung von Verfahren, die nicht im Rahmen eines F&amp;E-Projekts entwickelt oder weiterentwickelt wurden,</w:t>
      </w:r>
    </w:p>
    <w:p w14:paraId="103FF5CD" w14:textId="2981E0CB" w:rsidR="00221924" w:rsidRPr="0010361D" w:rsidRDefault="00221924" w:rsidP="00221924">
      <w:pPr>
        <w:tabs>
          <w:tab w:val="left" w:pos="566"/>
        </w:tabs>
        <w:spacing w:line="240" w:lineRule="exact"/>
        <w:ind w:firstLine="566"/>
        <w:jc w:val="both"/>
        <w:rPr>
          <w:sz w:val="16"/>
          <w:szCs w:val="16"/>
        </w:rPr>
      </w:pPr>
      <w:r w:rsidRPr="0010361D">
        <w:rPr>
          <w:sz w:val="16"/>
          <w:szCs w:val="16"/>
        </w:rPr>
        <w:t xml:space="preserve">f) </w:t>
      </w:r>
      <w:r w:rsidR="006E3952" w:rsidRPr="006E3952">
        <w:rPr>
          <w:sz w:val="16"/>
          <w:szCs w:val="16"/>
        </w:rPr>
        <w:t>Formale Änderungen, die lediglich ästhetische oder visuelle Aspekte wie Form, Farbe oder Dekoration betreffen und keinen Bezug zu Forschungs-, Entwicklungs- oder Innovationsaktivitäten haben,</w:t>
      </w:r>
    </w:p>
    <w:p w14:paraId="00C566A9" w14:textId="70FACFF1" w:rsidR="00221924" w:rsidRPr="00F85705" w:rsidRDefault="00221924" w:rsidP="00221924">
      <w:pPr>
        <w:tabs>
          <w:tab w:val="left" w:pos="566"/>
        </w:tabs>
        <w:spacing w:line="240" w:lineRule="exact"/>
        <w:ind w:firstLine="566"/>
        <w:jc w:val="both"/>
        <w:rPr>
          <w:sz w:val="16"/>
          <w:szCs w:val="16"/>
        </w:rPr>
      </w:pPr>
      <w:r w:rsidRPr="0010361D">
        <w:rPr>
          <w:sz w:val="16"/>
          <w:szCs w:val="16"/>
        </w:rPr>
        <w:t xml:space="preserve">g) </w:t>
      </w:r>
      <w:r w:rsidR="006E3952" w:rsidRPr="00F85705">
        <w:rPr>
          <w:sz w:val="16"/>
          <w:szCs w:val="16"/>
        </w:rPr>
        <w:t>Softwareentwicklungsarbeiten, die – ausgenommen Programmiersprachen und Betriebssysteme – durch die Nutzung bereits vorhandener Software erfolgen, die zur Erstellung von Internetseiten oder ähnlichen Anwendungen dient,</w:t>
      </w:r>
    </w:p>
    <w:p w14:paraId="300002D0" w14:textId="530DF14F" w:rsidR="00221924" w:rsidRPr="00F85705" w:rsidRDefault="00F85705" w:rsidP="006E3952">
      <w:pPr>
        <w:tabs>
          <w:tab w:val="left" w:pos="566"/>
        </w:tabs>
        <w:spacing w:line="240" w:lineRule="exact"/>
        <w:ind w:firstLine="566"/>
        <w:jc w:val="both"/>
        <w:rPr>
          <w:sz w:val="16"/>
          <w:szCs w:val="16"/>
        </w:rPr>
      </w:pPr>
      <w:r>
        <w:rPr>
          <w:sz w:val="16"/>
          <w:szCs w:val="16"/>
        </w:rPr>
        <w:t>h</w:t>
      </w:r>
      <w:r w:rsidR="00221924" w:rsidRPr="00F85705">
        <w:rPr>
          <w:sz w:val="16"/>
          <w:szCs w:val="16"/>
        </w:rPr>
        <w:t>)</w:t>
      </w:r>
      <w:r w:rsidR="006E3952" w:rsidRPr="00F85705">
        <w:rPr>
          <w:sz w:val="16"/>
          <w:szCs w:val="16"/>
        </w:rPr>
        <w:t xml:space="preserve"> Gewöhnliche und wiederholende Tätigkeiten im Zusammenhang mit Software, die keine wissenschaftlichen oder technologischen Fortschritte beinhalten und nicht zur Lösung technologischer Unsicherheiten beitragen,</w:t>
      </w:r>
    </w:p>
    <w:p w14:paraId="0B78BFDB" w14:textId="6D2FA7C5" w:rsidR="00221924" w:rsidRPr="00F85705" w:rsidRDefault="00F85705" w:rsidP="00221924">
      <w:pPr>
        <w:tabs>
          <w:tab w:val="left" w:pos="566"/>
        </w:tabs>
        <w:spacing w:line="240" w:lineRule="exact"/>
        <w:ind w:firstLine="566"/>
        <w:jc w:val="both"/>
        <w:rPr>
          <w:sz w:val="16"/>
          <w:szCs w:val="16"/>
        </w:rPr>
      </w:pPr>
      <w:r>
        <w:rPr>
          <w:sz w:val="16"/>
          <w:szCs w:val="16"/>
        </w:rPr>
        <w:t>i</w:t>
      </w:r>
      <w:r w:rsidR="00221924" w:rsidRPr="00F85705">
        <w:rPr>
          <w:sz w:val="16"/>
          <w:szCs w:val="16"/>
        </w:rPr>
        <w:t xml:space="preserve">) </w:t>
      </w:r>
      <w:r w:rsidR="006E3952" w:rsidRPr="00F85705">
        <w:rPr>
          <w:sz w:val="16"/>
          <w:szCs w:val="16"/>
        </w:rPr>
        <w:t>Forschungsausgaben für Gründungs- und Organisationsprozesse,</w:t>
      </w:r>
    </w:p>
    <w:p w14:paraId="3264EED1" w14:textId="28DF3B9C" w:rsidR="00221924" w:rsidRPr="000932D5" w:rsidRDefault="00F85705" w:rsidP="00221924">
      <w:pPr>
        <w:tabs>
          <w:tab w:val="left" w:pos="566"/>
        </w:tabs>
        <w:spacing w:line="240" w:lineRule="exact"/>
        <w:ind w:firstLine="566"/>
        <w:jc w:val="both"/>
        <w:rPr>
          <w:sz w:val="16"/>
          <w:szCs w:val="16"/>
        </w:rPr>
      </w:pPr>
      <w:r>
        <w:rPr>
          <w:sz w:val="16"/>
          <w:szCs w:val="16"/>
        </w:rPr>
        <w:t>j</w:t>
      </w:r>
      <w:r w:rsidR="00221924" w:rsidRPr="00F85705">
        <w:rPr>
          <w:sz w:val="16"/>
          <w:szCs w:val="16"/>
        </w:rPr>
        <w:t xml:space="preserve">) </w:t>
      </w:r>
      <w:r w:rsidR="006E3952" w:rsidRPr="000932D5">
        <w:rPr>
          <w:sz w:val="16"/>
          <w:szCs w:val="16"/>
        </w:rPr>
        <w:t xml:space="preserve">Investitionen in Produktions- und Produktionsinfrastrukturmaßnahmen sowie Aufwendungen im Zusammenhang mit der Planung der </w:t>
      </w:r>
      <w:r w:rsidRPr="000932D5">
        <w:rPr>
          <w:sz w:val="16"/>
          <w:szCs w:val="16"/>
        </w:rPr>
        <w:t>gewerblichen Produktion</w:t>
      </w:r>
      <w:r w:rsidR="006E3952" w:rsidRPr="000932D5">
        <w:rPr>
          <w:sz w:val="16"/>
          <w:szCs w:val="16"/>
        </w:rPr>
        <w:t xml:space="preserve"> und des Serienproduktionsprozesses,</w:t>
      </w:r>
    </w:p>
    <w:p w14:paraId="652A973C" w14:textId="734DC6E7" w:rsidR="00221924" w:rsidRPr="000932D5" w:rsidRDefault="00F85705" w:rsidP="00221924">
      <w:pPr>
        <w:tabs>
          <w:tab w:val="left" w:pos="566"/>
        </w:tabs>
        <w:spacing w:line="240" w:lineRule="exact"/>
        <w:ind w:firstLine="566"/>
        <w:jc w:val="both"/>
        <w:rPr>
          <w:sz w:val="16"/>
          <w:szCs w:val="16"/>
        </w:rPr>
      </w:pPr>
      <w:r w:rsidRPr="000932D5">
        <w:rPr>
          <w:sz w:val="16"/>
          <w:szCs w:val="16"/>
        </w:rPr>
        <w:t>k</w:t>
      </w:r>
      <w:r w:rsidR="00221924" w:rsidRPr="000932D5">
        <w:rPr>
          <w:sz w:val="16"/>
          <w:szCs w:val="16"/>
        </w:rPr>
        <w:t xml:space="preserve">) </w:t>
      </w:r>
      <w:r w:rsidR="00010985" w:rsidRPr="000932D5">
        <w:rPr>
          <w:sz w:val="16"/>
          <w:szCs w:val="16"/>
        </w:rPr>
        <w:t>Die Herstellung und Verteilung von Kopien von Prototypen zu Vorführzwecken sowie Verbrauchertests zu Werbezwecken,</w:t>
      </w:r>
    </w:p>
    <w:p w14:paraId="2DF8D00C" w14:textId="37AC0EA1" w:rsidR="00221924" w:rsidRPr="000932D5" w:rsidRDefault="00F85705" w:rsidP="00221924">
      <w:pPr>
        <w:tabs>
          <w:tab w:val="left" w:pos="566"/>
        </w:tabs>
        <w:spacing w:line="240" w:lineRule="exact"/>
        <w:ind w:firstLine="566"/>
        <w:jc w:val="both"/>
        <w:rPr>
          <w:sz w:val="16"/>
          <w:szCs w:val="16"/>
        </w:rPr>
      </w:pPr>
      <w:r w:rsidRPr="000932D5">
        <w:rPr>
          <w:sz w:val="16"/>
          <w:szCs w:val="16"/>
        </w:rPr>
        <w:t>l</w:t>
      </w:r>
      <w:r w:rsidR="00221924" w:rsidRPr="000932D5">
        <w:rPr>
          <w:sz w:val="16"/>
          <w:szCs w:val="16"/>
        </w:rPr>
        <w:t xml:space="preserve">) </w:t>
      </w:r>
      <w:r w:rsidR="00010985" w:rsidRPr="000932D5">
        <w:rPr>
          <w:sz w:val="16"/>
          <w:szCs w:val="16"/>
        </w:rPr>
        <w:t>Direkte oder eingebettete Technologietransfers, die nicht der Entwicklung neuer Verfahren, Systeme oder Produkte im Rahmen eines Forschungs- und Entwicklungsprojekts dienen,</w:t>
      </w:r>
    </w:p>
    <w:p w14:paraId="3D522617" w14:textId="246748CD" w:rsidR="00221924" w:rsidRPr="000932D5" w:rsidRDefault="00F85705" w:rsidP="00221924">
      <w:pPr>
        <w:tabs>
          <w:tab w:val="left" w:pos="566"/>
        </w:tabs>
        <w:spacing w:line="240" w:lineRule="exact"/>
        <w:ind w:firstLine="566"/>
        <w:jc w:val="both"/>
        <w:rPr>
          <w:sz w:val="16"/>
          <w:szCs w:val="16"/>
        </w:rPr>
      </w:pPr>
      <w:r w:rsidRPr="000932D5">
        <w:rPr>
          <w:sz w:val="16"/>
          <w:szCs w:val="16"/>
        </w:rPr>
        <w:t>m</w:t>
      </w:r>
      <w:r w:rsidR="00221924" w:rsidRPr="000932D5">
        <w:rPr>
          <w:sz w:val="16"/>
          <w:szCs w:val="16"/>
        </w:rPr>
        <w:t xml:space="preserve">) </w:t>
      </w:r>
      <w:r w:rsidRPr="000932D5">
        <w:rPr>
          <w:sz w:val="16"/>
          <w:szCs w:val="16"/>
        </w:rPr>
        <w:t>Schutzmaßnahmen im Zusammenhang mit den geistigen Eigentumsrechten an Produkten oder Verfahren, die durch Forschungs- und Innovationsaktivitäten entwickelt wurden, ausgenommen deren Erwerb.</w:t>
      </w:r>
    </w:p>
    <w:p w14:paraId="673FD9FE" w14:textId="77777777" w:rsidR="00441A84" w:rsidRPr="000932D5" w:rsidRDefault="00441A84" w:rsidP="00221924">
      <w:pPr>
        <w:tabs>
          <w:tab w:val="left" w:pos="566"/>
        </w:tabs>
        <w:spacing w:line="240" w:lineRule="exact"/>
        <w:ind w:firstLine="566"/>
        <w:jc w:val="both"/>
        <w:rPr>
          <w:sz w:val="16"/>
          <w:szCs w:val="16"/>
        </w:rPr>
      </w:pPr>
    </w:p>
    <w:p w14:paraId="138C1002" w14:textId="7580D0A1" w:rsidR="00221924" w:rsidRPr="000932D5" w:rsidRDefault="00F85705" w:rsidP="00221924">
      <w:pPr>
        <w:tabs>
          <w:tab w:val="left" w:pos="566"/>
        </w:tabs>
        <w:spacing w:line="240" w:lineRule="exact"/>
        <w:ind w:firstLine="566"/>
        <w:jc w:val="both"/>
        <w:rPr>
          <w:b/>
          <w:bCs/>
          <w:sz w:val="16"/>
          <w:szCs w:val="16"/>
        </w:rPr>
      </w:pPr>
      <w:r w:rsidRPr="000932D5">
        <w:rPr>
          <w:b/>
          <w:bCs/>
          <w:sz w:val="16"/>
          <w:szCs w:val="16"/>
        </w:rPr>
        <w:t>Nicht als Designaktivitäten anerkannte Tätigkeiten</w:t>
      </w:r>
    </w:p>
    <w:p w14:paraId="7F4ED36C" w14:textId="034E972D" w:rsidR="00221924" w:rsidRPr="000932D5" w:rsidRDefault="00F85705" w:rsidP="00221924">
      <w:pPr>
        <w:tabs>
          <w:tab w:val="left" w:pos="566"/>
        </w:tabs>
        <w:spacing w:line="240" w:lineRule="exact"/>
        <w:ind w:firstLine="566"/>
        <w:jc w:val="both"/>
        <w:rPr>
          <w:sz w:val="16"/>
          <w:szCs w:val="16"/>
        </w:rPr>
      </w:pPr>
      <w:r w:rsidRPr="000932D5">
        <w:rPr>
          <w:b/>
          <w:sz w:val="16"/>
          <w:szCs w:val="16"/>
        </w:rPr>
        <w:t>ARTIKEL</w:t>
      </w:r>
      <w:r w:rsidR="00221924" w:rsidRPr="000932D5">
        <w:rPr>
          <w:b/>
          <w:sz w:val="16"/>
          <w:szCs w:val="16"/>
        </w:rPr>
        <w:t xml:space="preserve"> 6 – </w:t>
      </w:r>
      <w:r w:rsidR="00221924" w:rsidRPr="000932D5">
        <w:rPr>
          <w:sz w:val="16"/>
          <w:szCs w:val="16"/>
        </w:rPr>
        <w:t xml:space="preserve">(1) </w:t>
      </w:r>
      <w:r w:rsidRPr="000932D5">
        <w:rPr>
          <w:sz w:val="16"/>
          <w:szCs w:val="16"/>
        </w:rPr>
        <w:t>Die nachstehend aufgeführten Tätigkeiten werden im Rahmen der Anwendung dieser Verordnung nicht als Designaktivitäten bewertet:</w:t>
      </w:r>
    </w:p>
    <w:p w14:paraId="0E11C701" w14:textId="343B3E27" w:rsidR="00221924" w:rsidRPr="000932D5" w:rsidRDefault="00221924" w:rsidP="00221924">
      <w:pPr>
        <w:tabs>
          <w:tab w:val="left" w:pos="566"/>
        </w:tabs>
        <w:spacing w:line="240" w:lineRule="exact"/>
        <w:ind w:firstLine="566"/>
        <w:jc w:val="both"/>
        <w:rPr>
          <w:sz w:val="16"/>
          <w:szCs w:val="16"/>
        </w:rPr>
      </w:pPr>
      <w:r w:rsidRPr="000932D5">
        <w:rPr>
          <w:sz w:val="16"/>
          <w:szCs w:val="16"/>
        </w:rPr>
        <w:t xml:space="preserve">a) </w:t>
      </w:r>
      <w:r w:rsidR="00F85705" w:rsidRPr="000932D5">
        <w:rPr>
          <w:sz w:val="16"/>
          <w:szCs w:val="16"/>
        </w:rPr>
        <w:t>Marketingaktivitäten, Marktanalysen, Marktforschung oder Verkaufsförderungsmaßnahmen,</w:t>
      </w:r>
    </w:p>
    <w:p w14:paraId="5B0C3313" w14:textId="5977ED86" w:rsidR="00221924" w:rsidRPr="000932D5" w:rsidRDefault="00221924" w:rsidP="00221924">
      <w:pPr>
        <w:tabs>
          <w:tab w:val="left" w:pos="566"/>
        </w:tabs>
        <w:spacing w:line="240" w:lineRule="exact"/>
        <w:ind w:firstLine="566"/>
        <w:jc w:val="both"/>
        <w:rPr>
          <w:sz w:val="16"/>
          <w:szCs w:val="16"/>
        </w:rPr>
      </w:pPr>
      <w:r w:rsidRPr="000932D5">
        <w:rPr>
          <w:sz w:val="16"/>
          <w:szCs w:val="16"/>
        </w:rPr>
        <w:t xml:space="preserve">b) </w:t>
      </w:r>
      <w:r w:rsidR="00F85705" w:rsidRPr="000932D5">
        <w:rPr>
          <w:sz w:val="16"/>
          <w:szCs w:val="16"/>
        </w:rPr>
        <w:t>Qualitätssicherungs,</w:t>
      </w:r>
    </w:p>
    <w:p w14:paraId="7E104534" w14:textId="0C5E0BBC" w:rsidR="00221924" w:rsidRPr="000932D5" w:rsidRDefault="00221924" w:rsidP="00221924">
      <w:pPr>
        <w:tabs>
          <w:tab w:val="left" w:pos="566"/>
        </w:tabs>
        <w:spacing w:line="240" w:lineRule="exact"/>
        <w:ind w:firstLine="566"/>
        <w:jc w:val="both"/>
        <w:rPr>
          <w:sz w:val="16"/>
          <w:szCs w:val="16"/>
        </w:rPr>
      </w:pPr>
      <w:r w:rsidRPr="000932D5">
        <w:rPr>
          <w:sz w:val="16"/>
          <w:szCs w:val="16"/>
        </w:rPr>
        <w:t xml:space="preserve">c) </w:t>
      </w:r>
      <w:r w:rsidR="00F85705" w:rsidRPr="000932D5">
        <w:rPr>
          <w:sz w:val="16"/>
          <w:szCs w:val="16"/>
        </w:rPr>
        <w:t>Die Nutzung von Verfahren, die außerhalb eines Designprojekts entwickelt oder weiterentwickelt wurden,</w:t>
      </w:r>
    </w:p>
    <w:p w14:paraId="513BCBE8" w14:textId="4FCDEB41" w:rsidR="00221924" w:rsidRPr="000932D5" w:rsidRDefault="00221924" w:rsidP="00221924">
      <w:pPr>
        <w:tabs>
          <w:tab w:val="left" w:pos="566"/>
        </w:tabs>
        <w:spacing w:line="240" w:lineRule="exact"/>
        <w:ind w:firstLine="566"/>
        <w:jc w:val="both"/>
        <w:rPr>
          <w:sz w:val="16"/>
          <w:szCs w:val="16"/>
        </w:rPr>
      </w:pPr>
      <w:r w:rsidRPr="000932D5">
        <w:rPr>
          <w:sz w:val="16"/>
          <w:szCs w:val="16"/>
        </w:rPr>
        <w:t xml:space="preserve">ç) </w:t>
      </w:r>
      <w:r w:rsidR="00F85705" w:rsidRPr="000932D5">
        <w:rPr>
          <w:sz w:val="16"/>
          <w:szCs w:val="16"/>
        </w:rPr>
        <w:t>Forschungsausgaben für Gründungs- und Organisationsprozesse,</w:t>
      </w:r>
    </w:p>
    <w:p w14:paraId="311E044F" w14:textId="77777777" w:rsidR="009870DB" w:rsidRPr="000932D5" w:rsidRDefault="00221924" w:rsidP="00221924">
      <w:pPr>
        <w:tabs>
          <w:tab w:val="left" w:pos="566"/>
        </w:tabs>
        <w:spacing w:line="240" w:lineRule="exact"/>
        <w:ind w:firstLine="566"/>
        <w:jc w:val="both"/>
        <w:rPr>
          <w:sz w:val="16"/>
          <w:szCs w:val="16"/>
        </w:rPr>
      </w:pPr>
      <w:r w:rsidRPr="000932D5">
        <w:rPr>
          <w:sz w:val="16"/>
          <w:szCs w:val="16"/>
        </w:rPr>
        <w:t xml:space="preserve">d) </w:t>
      </w:r>
      <w:r w:rsidR="00F85705" w:rsidRPr="000932D5">
        <w:rPr>
          <w:sz w:val="16"/>
          <w:szCs w:val="16"/>
        </w:rPr>
        <w:t>Investitionen in Produktions- und Produktionsinfrastrukturmaßnahmen sowie Aufwendungen im Zusammenhang mit der Planung der gewerblichen Produktion und des Serienproduktionsprozesses,</w:t>
      </w:r>
    </w:p>
    <w:p w14:paraId="71D39B34" w14:textId="509068F7" w:rsidR="00221924" w:rsidRPr="000932D5" w:rsidRDefault="00221924" w:rsidP="00221924">
      <w:pPr>
        <w:tabs>
          <w:tab w:val="left" w:pos="566"/>
        </w:tabs>
        <w:spacing w:line="240" w:lineRule="exact"/>
        <w:ind w:firstLine="566"/>
        <w:jc w:val="both"/>
        <w:rPr>
          <w:sz w:val="16"/>
          <w:szCs w:val="16"/>
        </w:rPr>
      </w:pPr>
      <w:r w:rsidRPr="000932D5">
        <w:rPr>
          <w:sz w:val="16"/>
          <w:szCs w:val="16"/>
        </w:rPr>
        <w:t xml:space="preserve">e) </w:t>
      </w:r>
      <w:r w:rsidR="009870DB" w:rsidRPr="000932D5">
        <w:rPr>
          <w:sz w:val="16"/>
          <w:szCs w:val="16"/>
        </w:rPr>
        <w:t>Die Anfertigung und Verteilung von Kopien von Prototypen zum Zwecke der Musterabgabe sowie die Durchführung von Verbrauchertests zu Werbezwecken,</w:t>
      </w:r>
    </w:p>
    <w:p w14:paraId="5DF6064F" w14:textId="3E19B018" w:rsidR="00221924" w:rsidRPr="000932D5" w:rsidRDefault="00221924" w:rsidP="00221924">
      <w:pPr>
        <w:tabs>
          <w:tab w:val="left" w:pos="566"/>
        </w:tabs>
        <w:spacing w:line="240" w:lineRule="exact"/>
        <w:ind w:firstLine="566"/>
        <w:jc w:val="both"/>
        <w:rPr>
          <w:sz w:val="16"/>
          <w:szCs w:val="16"/>
        </w:rPr>
      </w:pPr>
      <w:r w:rsidRPr="000932D5">
        <w:rPr>
          <w:sz w:val="16"/>
          <w:szCs w:val="16"/>
        </w:rPr>
        <w:t xml:space="preserve">f) </w:t>
      </w:r>
      <w:r w:rsidR="009870DB" w:rsidRPr="000932D5">
        <w:rPr>
          <w:sz w:val="16"/>
          <w:szCs w:val="16"/>
        </w:rPr>
        <w:t>Direkte oder eingebettete Technologietransfers, die nicht der Entwicklung neuer Verfahren, Systeme oder Produkte im Rahmen eines Designprojekts dienen,</w:t>
      </w:r>
    </w:p>
    <w:p w14:paraId="425CFE9C" w14:textId="0D6B72D1" w:rsidR="00221924" w:rsidRPr="000932D5" w:rsidRDefault="00221924" w:rsidP="00221924">
      <w:pPr>
        <w:tabs>
          <w:tab w:val="left" w:pos="566"/>
        </w:tabs>
        <w:spacing w:line="240" w:lineRule="exact"/>
        <w:ind w:firstLine="566"/>
        <w:jc w:val="both"/>
        <w:rPr>
          <w:sz w:val="16"/>
          <w:szCs w:val="16"/>
        </w:rPr>
      </w:pPr>
      <w:r w:rsidRPr="000932D5">
        <w:rPr>
          <w:sz w:val="16"/>
          <w:szCs w:val="16"/>
        </w:rPr>
        <w:t xml:space="preserve">g) </w:t>
      </w:r>
      <w:r w:rsidR="009870DB" w:rsidRPr="000932D5">
        <w:rPr>
          <w:sz w:val="16"/>
          <w:szCs w:val="16"/>
        </w:rPr>
        <w:t>Tätigkeiten zum Schutz geistiger Eigentumsrechte in Bezug auf Produkte oder Verfahren, die im Rahmen von Designaktivitäten entwickelt wurden, mit Ausnahme des Erwerbs dieser Rechte,</w:t>
      </w:r>
    </w:p>
    <w:p w14:paraId="04A06E75" w14:textId="34FCFAFE" w:rsidR="00221924" w:rsidRPr="000932D5" w:rsidRDefault="00221924" w:rsidP="00221924">
      <w:pPr>
        <w:tabs>
          <w:tab w:val="left" w:pos="566"/>
        </w:tabs>
        <w:spacing w:line="240" w:lineRule="exact"/>
        <w:ind w:firstLine="566"/>
        <w:jc w:val="both"/>
        <w:rPr>
          <w:sz w:val="16"/>
          <w:szCs w:val="16"/>
        </w:rPr>
      </w:pPr>
      <w:r w:rsidRPr="000932D5">
        <w:rPr>
          <w:sz w:val="16"/>
          <w:szCs w:val="16"/>
        </w:rPr>
        <w:t xml:space="preserve">ğ) </w:t>
      </w:r>
      <w:r w:rsidR="009870DB" w:rsidRPr="000932D5">
        <w:rPr>
          <w:sz w:val="16"/>
          <w:szCs w:val="16"/>
        </w:rPr>
        <w:t>Designaktivitäten, die die unzulässige Verwendung von Hoheitszeichen gemäß Artikel 6ter Absatz 2 der Pariser Verbandsübereinkunft sowie die unangemessene Nutzung von Zeichen, Wappen, Emblemen, Orden oder Bezeichnungen beinhalten, die von öffentlichem Interesse sind oder aufgrund ihres religiösen, historischen oder kulturellen Werts als Gemeingut gelten und deren Registrierung von den zuständigen Behörden nicht genehmigt wurde,</w:t>
      </w:r>
    </w:p>
    <w:p w14:paraId="19BA326F" w14:textId="22BA10C7" w:rsidR="00221924" w:rsidRPr="000932D5" w:rsidRDefault="00221924" w:rsidP="00221924">
      <w:pPr>
        <w:tabs>
          <w:tab w:val="left" w:pos="566"/>
        </w:tabs>
        <w:spacing w:line="240" w:lineRule="exact"/>
        <w:ind w:firstLine="566"/>
        <w:jc w:val="both"/>
        <w:rPr>
          <w:sz w:val="16"/>
          <w:szCs w:val="16"/>
        </w:rPr>
      </w:pPr>
      <w:r w:rsidRPr="000932D5">
        <w:rPr>
          <w:sz w:val="16"/>
          <w:szCs w:val="16"/>
        </w:rPr>
        <w:t xml:space="preserve">h) </w:t>
      </w:r>
      <w:r w:rsidR="000932D5" w:rsidRPr="000932D5">
        <w:rPr>
          <w:sz w:val="16"/>
          <w:szCs w:val="16"/>
        </w:rPr>
        <w:t>Designaktivitäten, die im Widerspruch zur öffentlichen Ordnung oder zu den allgemeinen Moralvorstellungen stehen.</w:t>
      </w:r>
    </w:p>
    <w:p w14:paraId="29E147D5" w14:textId="428D8E0C" w:rsidR="00441A84" w:rsidRDefault="00441A84" w:rsidP="00316FC2">
      <w:pPr>
        <w:pStyle w:val="Default"/>
        <w:jc w:val="both"/>
        <w:rPr>
          <w:sz w:val="23"/>
          <w:szCs w:val="23"/>
        </w:rPr>
      </w:pP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96"/>
        <w:gridCol w:w="4046"/>
      </w:tblGrid>
      <w:tr w:rsidR="00316FC2" w:rsidRPr="00221924" w14:paraId="57872EB8" w14:textId="77777777" w:rsidTr="006834B8">
        <w:trPr>
          <w:trHeight w:val="1475"/>
          <w:jc w:val="center"/>
        </w:trPr>
        <w:tc>
          <w:tcPr>
            <w:tcW w:w="9142" w:type="dxa"/>
            <w:gridSpan w:val="2"/>
            <w:tcBorders>
              <w:bottom w:val="nil"/>
            </w:tcBorders>
          </w:tcPr>
          <w:p w14:paraId="01AB9436" w14:textId="2E633A99" w:rsidR="00921186" w:rsidRPr="00921186" w:rsidRDefault="00921186" w:rsidP="00D73C85">
            <w:pPr>
              <w:pStyle w:val="Default"/>
              <w:jc w:val="both"/>
              <w:rPr>
                <w:b/>
                <w:bCs/>
                <w:color w:val="auto"/>
                <w:sz w:val="16"/>
                <w:szCs w:val="16"/>
              </w:rPr>
            </w:pPr>
            <w:r w:rsidRPr="00921186">
              <w:rPr>
                <w:rStyle w:val="Fett"/>
                <w:b w:val="0"/>
                <w:bCs w:val="0"/>
                <w:sz w:val="16"/>
                <w:szCs w:val="16"/>
              </w:rPr>
              <w:t xml:space="preserve">Hiermit erkläre ich, dass das Projekt bzw. die Tätigkeit, an der ich im Rahmen der Zusammenarbeit zwischen Universität und Industrie beteiligt sein werde, nicht unter die in den Artikeln 5 und 6 der am 10.08.2016 im Amtsblatt Nr. 29797 veröffentlichten und in Kraft getretenen </w:t>
            </w:r>
            <w:r w:rsidRPr="00921186">
              <w:rPr>
                <w:rStyle w:val="Fett"/>
                <w:i/>
                <w:iCs/>
                <w:sz w:val="16"/>
                <w:szCs w:val="16"/>
              </w:rPr>
              <w:t>Verordnung über die Durchführung und Überwachung der Förderung von Forschungs-, Entwicklungs- und Designaktivitäten</w:t>
            </w:r>
            <w:r w:rsidRPr="00921186">
              <w:rPr>
                <w:rStyle w:val="Fett"/>
                <w:b w:val="0"/>
                <w:bCs w:val="0"/>
                <w:sz w:val="16"/>
                <w:szCs w:val="16"/>
              </w:rPr>
              <w:t xml:space="preserve"> aufgeführten </w:t>
            </w:r>
            <w:r w:rsidRPr="00921186">
              <w:rPr>
                <w:rStyle w:val="Fett"/>
                <w:i/>
                <w:iCs/>
                <w:sz w:val="16"/>
                <w:szCs w:val="16"/>
              </w:rPr>
              <w:t>nicht als F&amp;E- und Innovationsaktivitäten geltenden Tätigkeiten</w:t>
            </w:r>
            <w:r w:rsidRPr="00921186">
              <w:rPr>
                <w:rStyle w:val="Fett"/>
                <w:b w:val="0"/>
                <w:bCs w:val="0"/>
                <w:sz w:val="16"/>
                <w:szCs w:val="16"/>
              </w:rPr>
              <w:t xml:space="preserve"> sowie </w:t>
            </w:r>
            <w:r w:rsidRPr="00921186">
              <w:rPr>
                <w:rStyle w:val="Fett"/>
                <w:i/>
                <w:iCs/>
                <w:sz w:val="16"/>
                <w:szCs w:val="16"/>
              </w:rPr>
              <w:t>nicht als Designaktivitäten geltenden Tätigkeiten</w:t>
            </w:r>
            <w:r w:rsidRPr="00921186">
              <w:rPr>
                <w:rStyle w:val="Fett"/>
                <w:b w:val="0"/>
                <w:bCs w:val="0"/>
                <w:sz w:val="16"/>
                <w:szCs w:val="16"/>
              </w:rPr>
              <w:t xml:space="preserve"> fällt.</w:t>
            </w:r>
          </w:p>
          <w:p w14:paraId="46D7954B" w14:textId="624B99FE" w:rsidR="00316FC2" w:rsidRPr="00921186" w:rsidRDefault="00F823DE" w:rsidP="00F823DE">
            <w:pPr>
              <w:pStyle w:val="Default"/>
              <w:jc w:val="both"/>
              <w:rPr>
                <w:color w:val="auto"/>
                <w:sz w:val="16"/>
                <w:szCs w:val="16"/>
              </w:rPr>
            </w:pPr>
            <w:r w:rsidRPr="005207C9">
              <w:rPr>
                <w:color w:val="auto"/>
                <w:sz w:val="18"/>
                <w:szCs w:val="18"/>
              </w:rPr>
              <w:t xml:space="preserve">       </w:t>
            </w:r>
            <w:r w:rsidR="00921186" w:rsidRPr="00921186">
              <w:rPr>
                <w:sz w:val="16"/>
                <w:szCs w:val="16"/>
              </w:rPr>
              <w:t>Für den Fall, dass sich nachträglich herausstellt, dass das Projekt bzw. die Tätigkeit, an der ich im Rahmen der Zusammenarbeit zwischen Universität und Industrie beteiligt bin, unter diesen Anwendungsbereich fällt und/oder nicht unter Absatz (k) des Artikels 58 des Hochschulgesetzes Nr. 2547 fällt, verpflichte ich mich, die mir geleisteten Zahlungen zurückzuerstatten. …../…../2021.</w:t>
            </w:r>
          </w:p>
        </w:tc>
      </w:tr>
      <w:tr w:rsidR="00316FC2" w:rsidRPr="00221924" w14:paraId="0DC05E12" w14:textId="77777777" w:rsidTr="00441A84">
        <w:trPr>
          <w:trHeight w:val="1675"/>
          <w:jc w:val="center"/>
        </w:trPr>
        <w:tc>
          <w:tcPr>
            <w:tcW w:w="5096" w:type="dxa"/>
            <w:tcBorders>
              <w:top w:val="single" w:sz="4" w:space="0" w:color="D9D9D9" w:themeColor="background1" w:themeShade="D9"/>
              <w:left w:val="single" w:sz="4" w:space="0" w:color="auto"/>
              <w:bottom w:val="single" w:sz="4" w:space="0" w:color="auto"/>
              <w:right w:val="nil"/>
            </w:tcBorders>
            <w:vAlign w:val="center"/>
          </w:tcPr>
          <w:p w14:paraId="781825D4" w14:textId="77777777" w:rsidR="00316FC2" w:rsidRPr="005207C9" w:rsidRDefault="00316FC2" w:rsidP="00316FC2">
            <w:pPr>
              <w:rPr>
                <w:sz w:val="20"/>
                <w:szCs w:val="20"/>
              </w:rPr>
            </w:pPr>
          </w:p>
        </w:tc>
        <w:tc>
          <w:tcPr>
            <w:tcW w:w="4046" w:type="dxa"/>
            <w:tcBorders>
              <w:top w:val="single" w:sz="4" w:space="0" w:color="D9D9D9" w:themeColor="background1" w:themeShade="D9"/>
              <w:left w:val="nil"/>
              <w:bottom w:val="single" w:sz="4" w:space="0" w:color="auto"/>
              <w:right w:val="single" w:sz="4" w:space="0" w:color="auto"/>
            </w:tcBorders>
            <w:vAlign w:val="center"/>
          </w:tcPr>
          <w:p w14:paraId="51701FD0" w14:textId="6C418544" w:rsidR="00316FC2" w:rsidRPr="005207C9" w:rsidRDefault="00921186" w:rsidP="00316FC2">
            <w:pPr>
              <w:rPr>
                <w:sz w:val="20"/>
                <w:szCs w:val="20"/>
              </w:rPr>
            </w:pPr>
            <w:r>
              <w:rPr>
                <w:sz w:val="20"/>
                <w:szCs w:val="20"/>
              </w:rPr>
              <w:t>Titel</w:t>
            </w:r>
            <w:r w:rsidR="00316FC2" w:rsidRPr="005207C9">
              <w:rPr>
                <w:sz w:val="20"/>
                <w:szCs w:val="20"/>
              </w:rPr>
              <w:t xml:space="preserve">, </w:t>
            </w:r>
            <w:r>
              <w:rPr>
                <w:sz w:val="20"/>
                <w:szCs w:val="20"/>
              </w:rPr>
              <w:t>Name und Nachname</w:t>
            </w:r>
          </w:p>
          <w:p w14:paraId="55815AAF" w14:textId="4294CA01" w:rsidR="00316FC2" w:rsidRPr="005207C9" w:rsidRDefault="00316FC2" w:rsidP="00316FC2">
            <w:pPr>
              <w:rPr>
                <w:sz w:val="20"/>
                <w:szCs w:val="20"/>
              </w:rPr>
            </w:pPr>
            <w:r w:rsidRPr="005207C9">
              <w:rPr>
                <w:sz w:val="20"/>
                <w:szCs w:val="20"/>
              </w:rPr>
              <w:fldChar w:fldCharType="begin"/>
            </w:r>
            <w:r w:rsidRPr="005207C9">
              <w:rPr>
                <w:sz w:val="20"/>
                <w:szCs w:val="20"/>
              </w:rPr>
              <w:instrText xml:space="preserve"> TIME \@ "dd.MM.yyyy" </w:instrText>
            </w:r>
            <w:r w:rsidRPr="005207C9">
              <w:rPr>
                <w:sz w:val="20"/>
                <w:szCs w:val="20"/>
              </w:rPr>
              <w:fldChar w:fldCharType="separate"/>
            </w:r>
            <w:r w:rsidR="002D44A0">
              <w:rPr>
                <w:noProof/>
                <w:sz w:val="20"/>
                <w:szCs w:val="20"/>
              </w:rPr>
              <w:t>12.11.2025</w:t>
            </w:r>
            <w:r w:rsidRPr="005207C9">
              <w:rPr>
                <w:sz w:val="20"/>
                <w:szCs w:val="20"/>
              </w:rPr>
              <w:fldChar w:fldCharType="end"/>
            </w:r>
          </w:p>
          <w:p w14:paraId="5E80C988" w14:textId="3E9050EF" w:rsidR="00316FC2" w:rsidRPr="005207C9" w:rsidRDefault="00921186" w:rsidP="00316FC2">
            <w:pPr>
              <w:rPr>
                <w:sz w:val="20"/>
                <w:szCs w:val="20"/>
              </w:rPr>
            </w:pPr>
            <w:r>
              <w:rPr>
                <w:sz w:val="20"/>
                <w:szCs w:val="20"/>
              </w:rPr>
              <w:t>Unterschrift</w:t>
            </w:r>
          </w:p>
        </w:tc>
      </w:tr>
    </w:tbl>
    <w:p w14:paraId="27E58F17" w14:textId="77777777" w:rsidR="00316FC2" w:rsidRDefault="00316FC2" w:rsidP="00221924">
      <w:pPr>
        <w:pStyle w:val="Default"/>
        <w:jc w:val="both"/>
        <w:rPr>
          <w:sz w:val="23"/>
          <w:szCs w:val="23"/>
        </w:rPr>
      </w:pPr>
    </w:p>
    <w:sectPr w:rsidR="00316FC2" w:rsidSect="00221924">
      <w:headerReference w:type="default" r:id="rId6"/>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F7251" w14:textId="77777777" w:rsidR="00E2037A" w:rsidRDefault="00E2037A" w:rsidP="0032074F">
      <w:r>
        <w:separator/>
      </w:r>
    </w:p>
  </w:endnote>
  <w:endnote w:type="continuationSeparator" w:id="0">
    <w:p w14:paraId="3C27A76D" w14:textId="77777777" w:rsidR="00E2037A" w:rsidRDefault="00E2037A" w:rsidP="00320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EB374" w14:textId="77777777" w:rsidR="00E2037A" w:rsidRDefault="00E2037A" w:rsidP="0032074F">
      <w:r>
        <w:separator/>
      </w:r>
    </w:p>
  </w:footnote>
  <w:footnote w:type="continuationSeparator" w:id="0">
    <w:p w14:paraId="0B9EB03F" w14:textId="77777777" w:rsidR="00E2037A" w:rsidRDefault="00E2037A" w:rsidP="00320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298" w:type="dxa"/>
      <w:tblLook w:val="04A0" w:firstRow="1" w:lastRow="0" w:firstColumn="1" w:lastColumn="0" w:noHBand="0" w:noVBand="1"/>
    </w:tblPr>
    <w:tblGrid>
      <w:gridCol w:w="4649"/>
      <w:gridCol w:w="4649"/>
    </w:tblGrid>
    <w:tr w:rsidR="0032074F" w14:paraId="29A62F1E" w14:textId="77777777" w:rsidTr="00A40226">
      <w:trPr>
        <w:trHeight w:val="1459"/>
      </w:trPr>
      <w:tc>
        <w:tcPr>
          <w:tcW w:w="4649" w:type="dxa"/>
        </w:tcPr>
        <w:p w14:paraId="24AB9A2A" w14:textId="02DE87DC" w:rsidR="0032074F" w:rsidRDefault="0032074F" w:rsidP="00A40226">
          <w:pPr>
            <w:pStyle w:val="Kopfzeile"/>
            <w:tabs>
              <w:tab w:val="clear" w:pos="9072"/>
              <w:tab w:val="right" w:pos="4418"/>
            </w:tabs>
          </w:pPr>
          <w:r>
            <w:rPr>
              <w:noProof/>
            </w:rPr>
            <w:drawing>
              <wp:inline distT="0" distB="0" distL="0" distR="0" wp14:anchorId="2E0EC7DB" wp14:editId="0815FA9A">
                <wp:extent cx="2705100" cy="952500"/>
                <wp:effectExtent l="0" t="0" r="0" b="0"/>
                <wp:docPr id="2" name="Resim 2" descr="C:\Users\tau\AppData\Local\Microsoft\Windows\INetCache\Content.Word\TAU LOGO.PNG"/>
                <wp:cNvGraphicFramePr/>
                <a:graphic xmlns:a="http://schemas.openxmlformats.org/drawingml/2006/main">
                  <a:graphicData uri="http://schemas.openxmlformats.org/drawingml/2006/picture">
                    <pic:pic xmlns:pic="http://schemas.openxmlformats.org/drawingml/2006/picture">
                      <pic:nvPicPr>
                        <pic:cNvPr id="2" name="Resim 2" descr="C:\Users\tau\AppData\Local\Microsoft\Windows\INetCache\Content.Word\TAU LOGO.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0" cy="952500"/>
                        </a:xfrm>
                        <a:prstGeom prst="rect">
                          <a:avLst/>
                        </a:prstGeom>
                        <a:noFill/>
                        <a:ln>
                          <a:noFill/>
                        </a:ln>
                      </pic:spPr>
                    </pic:pic>
                  </a:graphicData>
                </a:graphic>
              </wp:inline>
            </w:drawing>
          </w:r>
        </w:p>
      </w:tc>
      <w:tc>
        <w:tcPr>
          <w:tcW w:w="4649" w:type="dxa"/>
        </w:tcPr>
        <w:p w14:paraId="5E74420A" w14:textId="77777777" w:rsidR="0032074F" w:rsidRDefault="0032074F" w:rsidP="0032074F">
          <w:pPr>
            <w:pStyle w:val="Kopfzeile"/>
            <w:jc w:val="center"/>
            <w:rPr>
              <w:sz w:val="40"/>
              <w:szCs w:val="40"/>
            </w:rPr>
          </w:pPr>
        </w:p>
        <w:p w14:paraId="0E9561B7" w14:textId="22CAE0BD" w:rsidR="0032074F" w:rsidRPr="002D44A0" w:rsidRDefault="00096611" w:rsidP="0032074F">
          <w:pPr>
            <w:pStyle w:val="Kopfzeile"/>
            <w:jc w:val="center"/>
            <w:rPr>
              <w:sz w:val="32"/>
              <w:szCs w:val="32"/>
            </w:rPr>
          </w:pPr>
          <w:r w:rsidRPr="002D44A0">
            <w:rPr>
              <w:sz w:val="32"/>
              <w:szCs w:val="32"/>
            </w:rPr>
            <w:t>DEKLARATIONS</w:t>
          </w:r>
          <w:r w:rsidR="0032074F" w:rsidRPr="002D44A0">
            <w:rPr>
              <w:sz w:val="32"/>
              <w:szCs w:val="32"/>
            </w:rPr>
            <w:t>FORMU</w:t>
          </w:r>
          <w:r w:rsidRPr="002D44A0">
            <w:rPr>
              <w:sz w:val="32"/>
              <w:szCs w:val="32"/>
            </w:rPr>
            <w:t>LAR</w:t>
          </w:r>
        </w:p>
        <w:p w14:paraId="66461526" w14:textId="6E4D5728" w:rsidR="0032074F" w:rsidRPr="0032074F" w:rsidRDefault="0032074F" w:rsidP="0032074F">
          <w:pPr>
            <w:pStyle w:val="Kopfzeile"/>
            <w:jc w:val="center"/>
            <w:rPr>
              <w:sz w:val="28"/>
              <w:szCs w:val="28"/>
            </w:rPr>
          </w:pPr>
          <w:r w:rsidRPr="0032074F">
            <w:rPr>
              <w:sz w:val="28"/>
              <w:szCs w:val="28"/>
            </w:rPr>
            <w:t>(</w:t>
          </w:r>
          <w:r w:rsidR="00096611">
            <w:rPr>
              <w:sz w:val="28"/>
              <w:szCs w:val="28"/>
            </w:rPr>
            <w:t>ANLAGE</w:t>
          </w:r>
          <w:r w:rsidRPr="0032074F">
            <w:rPr>
              <w:sz w:val="28"/>
              <w:szCs w:val="28"/>
            </w:rPr>
            <w:t>-</w:t>
          </w:r>
          <w:r w:rsidR="0010361D">
            <w:rPr>
              <w:sz w:val="28"/>
              <w:szCs w:val="28"/>
            </w:rPr>
            <w:t>2</w:t>
          </w:r>
          <w:r w:rsidRPr="0032074F">
            <w:rPr>
              <w:sz w:val="28"/>
              <w:szCs w:val="28"/>
            </w:rPr>
            <w:t>)</w:t>
          </w:r>
        </w:p>
      </w:tc>
    </w:tr>
  </w:tbl>
  <w:p w14:paraId="4AEFAD6F" w14:textId="77777777" w:rsidR="0032074F" w:rsidRDefault="0032074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FC2"/>
    <w:rsid w:val="00010985"/>
    <w:rsid w:val="00075847"/>
    <w:rsid w:val="00092F6F"/>
    <w:rsid w:val="000932D5"/>
    <w:rsid w:val="00096611"/>
    <w:rsid w:val="0010361D"/>
    <w:rsid w:val="001F1525"/>
    <w:rsid w:val="00221924"/>
    <w:rsid w:val="00222D07"/>
    <w:rsid w:val="00262AE5"/>
    <w:rsid w:val="002C472E"/>
    <w:rsid w:val="002D44A0"/>
    <w:rsid w:val="00316FC2"/>
    <w:rsid w:val="0032074F"/>
    <w:rsid w:val="003543DB"/>
    <w:rsid w:val="00441A84"/>
    <w:rsid w:val="00446930"/>
    <w:rsid w:val="00494A95"/>
    <w:rsid w:val="005207C9"/>
    <w:rsid w:val="00571B7A"/>
    <w:rsid w:val="00586A3D"/>
    <w:rsid w:val="005F4107"/>
    <w:rsid w:val="006410ED"/>
    <w:rsid w:val="00670A7B"/>
    <w:rsid w:val="006834B8"/>
    <w:rsid w:val="006E3952"/>
    <w:rsid w:val="00785630"/>
    <w:rsid w:val="007B4D71"/>
    <w:rsid w:val="0088310C"/>
    <w:rsid w:val="00892220"/>
    <w:rsid w:val="008D6FA6"/>
    <w:rsid w:val="00921186"/>
    <w:rsid w:val="009870DB"/>
    <w:rsid w:val="009C5A32"/>
    <w:rsid w:val="00A40226"/>
    <w:rsid w:val="00AD011E"/>
    <w:rsid w:val="00BF1DF3"/>
    <w:rsid w:val="00C1079B"/>
    <w:rsid w:val="00C471B0"/>
    <w:rsid w:val="00D24BA3"/>
    <w:rsid w:val="00D53605"/>
    <w:rsid w:val="00D73C85"/>
    <w:rsid w:val="00DB4CFE"/>
    <w:rsid w:val="00DC7D3F"/>
    <w:rsid w:val="00E2037A"/>
    <w:rsid w:val="00E42077"/>
    <w:rsid w:val="00F823DE"/>
    <w:rsid w:val="00F8570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0EFFF"/>
  <w15:docId w15:val="{17B9AEF5-8617-4917-9525-1485F4055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16FC2"/>
    <w:pPr>
      <w:spacing w:after="0" w:line="240" w:lineRule="auto"/>
    </w:pPr>
    <w:rPr>
      <w:rFonts w:ascii="Times New Roman" w:eastAsia="Times New Roman" w:hAnsi="Times New Roman" w:cs="Times New Roman"/>
      <w:sz w:val="24"/>
      <w:szCs w:val="24"/>
      <w:lang w:eastAsia="tr-T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316FC2"/>
    <w:pPr>
      <w:autoSpaceDE w:val="0"/>
      <w:autoSpaceDN w:val="0"/>
      <w:adjustRightInd w:val="0"/>
      <w:spacing w:after="0" w:line="240" w:lineRule="auto"/>
    </w:pPr>
    <w:rPr>
      <w:rFonts w:ascii="Times New Roman" w:hAnsi="Times New Roman" w:cs="Times New Roman"/>
      <w:color w:val="000000"/>
      <w:sz w:val="24"/>
      <w:szCs w:val="24"/>
    </w:rPr>
  </w:style>
  <w:style w:type="paragraph" w:styleId="KeinLeerraum">
    <w:name w:val="No Spacing"/>
    <w:uiPriority w:val="1"/>
    <w:qFormat/>
    <w:rsid w:val="00316FC2"/>
    <w:pPr>
      <w:spacing w:after="0" w:line="240" w:lineRule="auto"/>
    </w:pPr>
    <w:rPr>
      <w:rFonts w:ascii="Times New Roman" w:eastAsia="Times New Roman" w:hAnsi="Times New Roman" w:cs="Times New Roman"/>
      <w:sz w:val="24"/>
      <w:szCs w:val="24"/>
      <w:lang w:eastAsia="tr-TR"/>
    </w:rPr>
  </w:style>
  <w:style w:type="table" w:styleId="Tabellenraster">
    <w:name w:val="Table Grid"/>
    <w:basedOn w:val="NormaleTabelle"/>
    <w:uiPriority w:val="59"/>
    <w:rsid w:val="00320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32074F"/>
    <w:pPr>
      <w:tabs>
        <w:tab w:val="center" w:pos="4536"/>
        <w:tab w:val="right" w:pos="9072"/>
      </w:tabs>
    </w:pPr>
  </w:style>
  <w:style w:type="character" w:customStyle="1" w:styleId="KopfzeileZchn">
    <w:name w:val="Kopfzeile Zchn"/>
    <w:basedOn w:val="Absatz-Standardschriftart"/>
    <w:link w:val="Kopfzeile"/>
    <w:uiPriority w:val="99"/>
    <w:rsid w:val="0032074F"/>
    <w:rPr>
      <w:rFonts w:ascii="Times New Roman" w:eastAsia="Times New Roman" w:hAnsi="Times New Roman" w:cs="Times New Roman"/>
      <w:sz w:val="24"/>
      <w:szCs w:val="24"/>
      <w:lang w:eastAsia="tr-TR"/>
    </w:rPr>
  </w:style>
  <w:style w:type="paragraph" w:styleId="Fuzeile">
    <w:name w:val="footer"/>
    <w:basedOn w:val="Standard"/>
    <w:link w:val="FuzeileZchn"/>
    <w:uiPriority w:val="99"/>
    <w:unhideWhenUsed/>
    <w:rsid w:val="0032074F"/>
    <w:pPr>
      <w:tabs>
        <w:tab w:val="center" w:pos="4536"/>
        <w:tab w:val="right" w:pos="9072"/>
      </w:tabs>
    </w:pPr>
  </w:style>
  <w:style w:type="character" w:customStyle="1" w:styleId="FuzeileZchn">
    <w:name w:val="Fußzeile Zchn"/>
    <w:basedOn w:val="Absatz-Standardschriftart"/>
    <w:link w:val="Fuzeile"/>
    <w:uiPriority w:val="99"/>
    <w:rsid w:val="0032074F"/>
    <w:rPr>
      <w:rFonts w:ascii="Times New Roman" w:eastAsia="Times New Roman" w:hAnsi="Times New Roman" w:cs="Times New Roman"/>
      <w:sz w:val="24"/>
      <w:szCs w:val="24"/>
      <w:lang w:eastAsia="tr-TR"/>
    </w:rPr>
  </w:style>
  <w:style w:type="paragraph" w:styleId="Sprechblasentext">
    <w:name w:val="Balloon Text"/>
    <w:basedOn w:val="Standard"/>
    <w:link w:val="SprechblasentextZchn"/>
    <w:uiPriority w:val="99"/>
    <w:semiHidden/>
    <w:unhideWhenUsed/>
    <w:rsid w:val="006410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410ED"/>
    <w:rPr>
      <w:rFonts w:ascii="Segoe UI" w:eastAsia="Times New Roman" w:hAnsi="Segoe UI" w:cs="Segoe UI"/>
      <w:sz w:val="18"/>
      <w:szCs w:val="18"/>
      <w:lang w:eastAsia="tr-TR"/>
    </w:rPr>
  </w:style>
  <w:style w:type="character" w:styleId="Fett">
    <w:name w:val="Strong"/>
    <w:basedOn w:val="Absatz-Standardschriftart"/>
    <w:uiPriority w:val="22"/>
    <w:qFormat/>
    <w:rsid w:val="009211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673</Words>
  <Characters>4247</Characters>
  <Application>Microsoft Office Word</Application>
  <DocSecurity>0</DocSecurity>
  <Lines>35</Lines>
  <Paragraphs>9</Paragraphs>
  <ScaleCrop>false</ScaleCrop>
  <HeadingPairs>
    <vt:vector size="4" baseType="variant">
      <vt:variant>
        <vt:lpstr>Titel</vt:lpstr>
      </vt:variant>
      <vt:variant>
        <vt:i4>1</vt:i4>
      </vt:variant>
      <vt:variant>
        <vt:lpstr>Konu Başlığı</vt:lpstr>
      </vt:variant>
      <vt:variant>
        <vt:i4>1</vt:i4>
      </vt:variant>
    </vt:vector>
  </HeadingPairs>
  <TitlesOfParts>
    <vt:vector size="2" baseType="lpstr">
      <vt:lpstr/>
      <vt:lpstr/>
    </vt:vector>
  </TitlesOfParts>
  <Company>Hewlett-Packard Company</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DEMIREL</dc:creator>
  <cp:lastModifiedBy>Microsoft Office User</cp:lastModifiedBy>
  <cp:revision>3</cp:revision>
  <cp:lastPrinted>2021-02-16T10:12:00Z</cp:lastPrinted>
  <dcterms:created xsi:type="dcterms:W3CDTF">2025-11-12T07:30:00Z</dcterms:created>
  <dcterms:modified xsi:type="dcterms:W3CDTF">2025-11-12T07:33:00Z</dcterms:modified>
</cp:coreProperties>
</file>