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715"/>
        <w:gridCol w:w="561"/>
        <w:gridCol w:w="63"/>
        <w:gridCol w:w="20"/>
        <w:gridCol w:w="79"/>
        <w:gridCol w:w="1428"/>
        <w:gridCol w:w="430"/>
        <w:gridCol w:w="386"/>
        <w:gridCol w:w="699"/>
        <w:gridCol w:w="34"/>
        <w:gridCol w:w="229"/>
        <w:gridCol w:w="1256"/>
        <w:gridCol w:w="44"/>
        <w:gridCol w:w="36"/>
        <w:gridCol w:w="343"/>
        <w:gridCol w:w="684"/>
        <w:gridCol w:w="326"/>
        <w:gridCol w:w="102"/>
        <w:gridCol w:w="269"/>
        <w:gridCol w:w="514"/>
        <w:gridCol w:w="177"/>
        <w:gridCol w:w="560"/>
        <w:gridCol w:w="198"/>
        <w:gridCol w:w="1321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992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99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8232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pct"/>
            <w:gridSpan w:val="15"/>
            <w:vAlign w:val="center"/>
          </w:tcPr>
          <w:p w14:paraId="7FA8FF5D" w14:textId="5FACA63A" w:rsidR="003858A6" w:rsidRPr="00F359C0" w:rsidRDefault="00D2001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POL511</w:t>
            </w:r>
          </w:p>
        </w:tc>
        <w:tc>
          <w:tcPr>
            <w:tcW w:w="992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32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34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31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99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8232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pct"/>
            <w:gridSpan w:val="15"/>
            <w:vAlign w:val="center"/>
          </w:tcPr>
          <w:p w14:paraId="13BBF35D" w14:textId="14C04B93" w:rsidR="003858A6" w:rsidRPr="00F359C0" w:rsidRDefault="00D2001F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  <w:tc>
          <w:tcPr>
            <w:tcW w:w="327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4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4B0A3B34" w14:textId="301FF1A3" w:rsidR="003858A6" w:rsidRPr="00F359C0" w:rsidRDefault="00D2001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4322" w:type="pct"/>
            <w:gridSpan w:val="19"/>
            <w:vAlign w:val="center"/>
          </w:tcPr>
          <w:p w14:paraId="3C5D8816" w14:textId="1D690CA7" w:rsidR="003858A6" w:rsidRPr="001E67EB" w:rsidRDefault="00EE43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English</w:t>
            </w:r>
          </w:p>
        </w:tc>
      </w:tr>
      <w:tr w:rsidR="003858A6" w:rsidRPr="001E67EB" w14:paraId="41CC9310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889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645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00121340" w:rsidR="003858A6" w:rsidRPr="001E67EB" w:rsidRDefault="00D2001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6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72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4322" w:type="pct"/>
            <w:gridSpan w:val="19"/>
            <w:vAlign w:val="center"/>
          </w:tcPr>
          <w:p w14:paraId="14216FF8" w14:textId="53B202BD" w:rsidR="003858A6" w:rsidRPr="001E67EB" w:rsidRDefault="00D2001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4322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55498C25" w:rsidR="003858A6" w:rsidRPr="001E67EB" w:rsidRDefault="00D2001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5C6E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074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1081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88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078" w:type="pct"/>
            <w:gridSpan w:val="4"/>
            <w:vAlign w:val="center"/>
          </w:tcPr>
          <w:p w14:paraId="37755065" w14:textId="52C756AE" w:rsidR="003858A6" w:rsidRPr="00D2001F" w:rsidRDefault="00D2001F" w:rsidP="00D2001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2001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4322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3F7E1A0A" w:rsidR="003858A6" w:rsidRPr="001E67EB" w:rsidRDefault="00D2001F" w:rsidP="00557610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legal </w:t>
            </w:r>
            <w:proofErr w:type="gram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background</w:t>
            </w:r>
            <w:proofErr w:type="gram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(EU),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core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related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Europe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periphery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been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dealing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4322" w:type="pct"/>
            <w:gridSpan w:val="19"/>
            <w:vAlign w:val="center"/>
          </w:tcPr>
          <w:p w14:paraId="36ADA30B" w14:textId="15604CC8" w:rsidR="003858A6" w:rsidRPr="00246023" w:rsidRDefault="00D2001F" w:rsidP="00557610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kick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set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introductory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sessions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underlying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setup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EU.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take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closer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look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EU’s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widening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evolution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dialogue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taking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into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account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numerous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aspects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complex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dynamic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relationship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succeeding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sessions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manifold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external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challenges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dynamics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periphery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been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encountering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refugee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Eurozone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scope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limits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leadership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wider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neighborhood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populist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tendencies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debates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Europe’s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future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4322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246EC4" w:rsidR="003858A6" w:rsidRPr="001E67EB" w:rsidRDefault="00D2001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4322" w:type="pct"/>
            <w:gridSpan w:val="19"/>
            <w:vAlign w:val="center"/>
          </w:tcPr>
          <w:p w14:paraId="19EC1B5F" w14:textId="40BA3DBA" w:rsidR="003858A6" w:rsidRPr="001E67EB" w:rsidRDefault="00D2001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4322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61FC65" w:rsidR="003858A6" w:rsidRPr="001E67EB" w:rsidRDefault="008A2C1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E12BFE1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4322" w:type="pct"/>
            <w:gridSpan w:val="19"/>
            <w:vAlign w:val="center"/>
          </w:tcPr>
          <w:p w14:paraId="2FE422AB" w14:textId="43DEF165" w:rsidR="003858A6" w:rsidRPr="001E67EB" w:rsidRDefault="00D2001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4322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5ADF8DF3" w:rsidR="003858A6" w:rsidRPr="001E67EB" w:rsidRDefault="00D2001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4369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935492" w14:textId="1B2054FC" w:rsidR="003858A6" w:rsidRPr="0030341D" w:rsidRDefault="00C431BE" w:rsidP="00C431BE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Staab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M. Lodge, E.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Thielemann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(2011), Politics and Policies of the European Union, London: University of London</w:t>
            </w:r>
          </w:p>
          <w:p w14:paraId="4B6DB5D2" w14:textId="77777777" w:rsidR="00C431BE" w:rsidRPr="0030341D" w:rsidRDefault="00C431BE" w:rsidP="00C431BE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Cini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Michelle and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Nievez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Perez-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Solorzano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Borragan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(2013), European Union Politics, Oxford: Oxford University Press</w:t>
            </w:r>
          </w:p>
          <w:p w14:paraId="0943A5C8" w14:textId="77777777" w:rsidR="00C431BE" w:rsidRPr="0030341D" w:rsidRDefault="00C431BE" w:rsidP="00C431BE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0341D">
              <w:rPr>
                <w:sz w:val="20"/>
                <w:szCs w:val="20"/>
                <w:lang w:val="en-GB"/>
              </w:rPr>
              <w:t xml:space="preserve">The Institutions of the European Union, Edited by John Peterson, Michael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Schackleton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>, Oxford University Press, 2012</w:t>
            </w:r>
          </w:p>
          <w:p w14:paraId="0904A951" w14:textId="2C66863E" w:rsidR="00C431BE" w:rsidRPr="0030341D" w:rsidRDefault="00C431BE" w:rsidP="00C431BE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Moravcsik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Andrew, (2002), “In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Defense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of the Democratic Deficit: Reassessing Legitimacy in the European Union”, The Journal of Common Market Studies, Vol. 40, No. 4, pp. 603-624 (</w:t>
            </w:r>
            <w:hyperlink r:id="rId7" w:history="1">
              <w:r w:rsidRPr="0030341D">
                <w:rPr>
                  <w:sz w:val="20"/>
                  <w:szCs w:val="20"/>
                  <w:lang w:val="en-GB"/>
                </w:rPr>
                <w:t>http://www.princeton.edu/~amoravcs/library/deficit.pdf</w:t>
              </w:r>
            </w:hyperlink>
            <w:r w:rsidRPr="0030341D">
              <w:rPr>
                <w:sz w:val="20"/>
                <w:szCs w:val="20"/>
                <w:lang w:val="en-GB"/>
              </w:rPr>
              <w:t>)</w:t>
            </w:r>
          </w:p>
          <w:p w14:paraId="4511E72C" w14:textId="4DB8DA3C" w:rsidR="00C431BE" w:rsidRPr="0030341D" w:rsidRDefault="00C431BE" w:rsidP="00C431BE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Turhan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Ebru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(2016), Turkey’s EU Accession Process: Do Member States Matter?, Journal of Contemporary European Studies, </w:t>
            </w:r>
            <w:hyperlink r:id="rId8" w:history="1">
              <w:r w:rsidRPr="0030341D">
                <w:rPr>
                  <w:sz w:val="20"/>
                  <w:szCs w:val="20"/>
                  <w:lang w:val="en-GB"/>
                </w:rPr>
                <w:t>http://dx.doi.org/10.1080/14782804.2016.1198693</w:t>
              </w:r>
            </w:hyperlink>
          </w:p>
          <w:p w14:paraId="01ABC91C" w14:textId="77777777" w:rsidR="00C431BE" w:rsidRPr="0030341D" w:rsidRDefault="00C431BE" w:rsidP="00C431BE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Schimmelfennig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>, Frank (2001), The Community Trap: Liberal Norms, Rhetorical Action, and the Eastern Enlargement of the European Union, International Organization, Vol. 55, No. 1, pp. 47-80</w:t>
            </w:r>
          </w:p>
          <w:p w14:paraId="7CE16B98" w14:textId="77777777" w:rsidR="00C431BE" w:rsidRPr="0030341D" w:rsidRDefault="00C431BE" w:rsidP="00557610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bookmarkStart w:id="0" w:name="_GoBack"/>
            <w:r w:rsidRPr="0030341D">
              <w:rPr>
                <w:sz w:val="20"/>
                <w:szCs w:val="20"/>
                <w:lang w:val="en-GB"/>
              </w:rPr>
              <w:lastRenderedPageBreak/>
              <w:t>Rosamond, Ben (2000), Theories of European Integration, St Martin’s Press</w:t>
            </w:r>
          </w:p>
          <w:p w14:paraId="75C1AB14" w14:textId="77777777" w:rsidR="00C431BE" w:rsidRPr="0030341D" w:rsidRDefault="00C431BE" w:rsidP="00557610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0341D">
              <w:rPr>
                <w:sz w:val="20"/>
                <w:szCs w:val="20"/>
                <w:lang w:val="en-GB"/>
              </w:rPr>
              <w:t xml:space="preserve">Aydın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Düzgit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Senem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and Nathalie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Tocci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(2015), Turkey and the European Union, New York: Palgrave</w:t>
            </w:r>
          </w:p>
          <w:p w14:paraId="4455932A" w14:textId="77777777" w:rsidR="00C431BE" w:rsidRPr="0030341D" w:rsidRDefault="00C431BE" w:rsidP="00557610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Müftüler-Baç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Meltem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(2016), “Turkey’s Ambivalent Relationship with the European Union: To Accede or not to Accede”,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Uluslararası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İlişkiler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>, Vol. 13, 89-103.</w:t>
            </w:r>
          </w:p>
          <w:p w14:paraId="22775245" w14:textId="25FA5B07" w:rsidR="001225F1" w:rsidRPr="0030341D" w:rsidRDefault="001225F1" w:rsidP="00557610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30341D">
              <w:rPr>
                <w:sz w:val="20"/>
                <w:szCs w:val="20"/>
                <w:lang w:val="en-GB"/>
              </w:rPr>
              <w:t>Turhan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Ebru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(2014), “Germany’s Leadership Role in the Eurozone Crisis and its Implications for Turkey’s EU Bid: A Liberal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Intergovernmentalist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Approach”, UACES 44th Annual Conference, 1-3 October 2014, Cork, </w:t>
            </w:r>
            <w:hyperlink r:id="rId9" w:history="1">
              <w:r w:rsidRPr="0030341D">
                <w:rPr>
                  <w:rStyle w:val="Kpr"/>
                  <w:sz w:val="20"/>
                  <w:szCs w:val="20"/>
                  <w:lang w:val="en-GB"/>
                </w:rPr>
                <w:t>http://www.uaces.org/documents/papers/1401/turhan.pdf</w:t>
              </w:r>
            </w:hyperlink>
          </w:p>
          <w:p w14:paraId="2D7B7332" w14:textId="7E45E350" w:rsidR="001225F1" w:rsidRPr="0030341D" w:rsidRDefault="001225F1" w:rsidP="00557610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0341D">
              <w:rPr>
                <w:sz w:val="20"/>
                <w:szCs w:val="20"/>
                <w:lang w:val="en-GB"/>
              </w:rPr>
              <w:t xml:space="preserve">Adam, Laura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Batalla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(2016), “The Refugee Card in EU-Turkey Relations: A Necessary but Uncertain Deal”, Global Turkey in Europe, Working Paper 14, September 2016, </w:t>
            </w:r>
            <w:hyperlink r:id="rId10" w:history="1">
              <w:r w:rsidRPr="0030341D">
                <w:rPr>
                  <w:rStyle w:val="Kpr"/>
                  <w:sz w:val="20"/>
                  <w:szCs w:val="20"/>
                  <w:lang w:val="en-GB"/>
                </w:rPr>
                <w:t>http://www.iai.it/sites/default/files/gte_wp_14.pdf</w:t>
              </w:r>
            </w:hyperlink>
            <w:r w:rsidRPr="0030341D">
              <w:rPr>
                <w:sz w:val="20"/>
                <w:szCs w:val="20"/>
                <w:lang w:val="en-GB"/>
              </w:rPr>
              <w:t xml:space="preserve"> </w:t>
            </w:r>
            <w:bookmarkEnd w:id="0"/>
          </w:p>
        </w:tc>
      </w:tr>
      <w:tr w:rsidR="003858A6" w:rsidRPr="001E67EB" w14:paraId="3B1DF51F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4369" w:type="pct"/>
            <w:gridSpan w:val="21"/>
            <w:vAlign w:val="center"/>
          </w:tcPr>
          <w:p w14:paraId="3DED728A" w14:textId="701E7D71" w:rsidR="00C431BE" w:rsidRPr="0030341D" w:rsidRDefault="00C431BE" w:rsidP="00557610">
            <w:pPr>
              <w:pStyle w:val="ListeParagraf"/>
              <w:numPr>
                <w:ilvl w:val="0"/>
                <w:numId w:val="9"/>
              </w:numPr>
              <w:spacing w:line="24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0341D">
              <w:rPr>
                <w:sz w:val="20"/>
                <w:szCs w:val="20"/>
                <w:lang w:val="en-GB"/>
              </w:rPr>
              <w:t>“The history of the European Union”,</w:t>
            </w:r>
          </w:p>
          <w:p w14:paraId="02CFE0C0" w14:textId="1D1C7E78" w:rsidR="003858A6" w:rsidRPr="0030341D" w:rsidRDefault="001225F1" w:rsidP="00557610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3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      </w:t>
            </w:r>
            <w:hyperlink r:id="rId11" w:history="1">
              <w:r w:rsidRPr="0030341D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val="en-US" w:eastAsia="tr-TR"/>
                </w:rPr>
                <w:t>https://europa.eu/european-union/about-eu/history_en</w:t>
              </w:r>
            </w:hyperlink>
          </w:p>
          <w:p w14:paraId="0A73426C" w14:textId="3C9A567B" w:rsidR="00C431BE" w:rsidRPr="0030341D" w:rsidRDefault="00C431BE" w:rsidP="00557610">
            <w:pPr>
              <w:pStyle w:val="ListeParagraf"/>
              <w:numPr>
                <w:ilvl w:val="0"/>
                <w:numId w:val="9"/>
              </w:numPr>
              <w:spacing w:line="24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341D">
              <w:rPr>
                <w:sz w:val="20"/>
                <w:szCs w:val="20"/>
                <w:lang w:val="en-GB"/>
              </w:rPr>
              <w:t>“History of Cooperation after 1945”,</w:t>
            </w:r>
            <w:r w:rsidRPr="00303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hyperlink r:id="rId12" w:history="1">
              <w:r w:rsidRPr="0030341D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val="en-US" w:eastAsia="tr-TR"/>
                </w:rPr>
                <w:t>https://www.bundestag.de/blob/189786/ba487d40183044e475f2e4e4b098dd85/europe_cooperation-data.pdf</w:t>
              </w:r>
            </w:hyperlink>
          </w:p>
          <w:p w14:paraId="48FF3CCE" w14:textId="3083BD65" w:rsidR="00C431BE" w:rsidRPr="0030341D" w:rsidRDefault="001225F1" w:rsidP="00557610">
            <w:pPr>
              <w:pStyle w:val="ListeParagraf"/>
              <w:numPr>
                <w:ilvl w:val="0"/>
                <w:numId w:val="9"/>
              </w:numPr>
              <w:spacing w:line="24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341D">
              <w:rPr>
                <w:sz w:val="20"/>
                <w:szCs w:val="20"/>
                <w:lang w:val="en-GB"/>
              </w:rPr>
              <w:t>European Commission (2011), A new response to a changing neighbourhood, COM (2011) 303 final,</w:t>
            </w:r>
            <w:r w:rsidRPr="00303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hyperlink r:id="rId13" w:history="1">
              <w:r w:rsidRPr="0030341D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val="en-US" w:eastAsia="tr-TR"/>
                </w:rPr>
                <w:t>https://ec.europa.eu/research/iscp/pdf/policy/com_2011_303.pdf</w:t>
              </w:r>
            </w:hyperlink>
          </w:p>
          <w:p w14:paraId="435587C4" w14:textId="2CD39664" w:rsidR="001225F1" w:rsidRPr="0030341D" w:rsidRDefault="001225F1" w:rsidP="00557610">
            <w:pPr>
              <w:pStyle w:val="ListeParagraf"/>
              <w:numPr>
                <w:ilvl w:val="0"/>
                <w:numId w:val="9"/>
              </w:numPr>
              <w:spacing w:line="24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0341D">
              <w:rPr>
                <w:sz w:val="20"/>
                <w:szCs w:val="20"/>
                <w:lang w:val="en-GB"/>
              </w:rPr>
              <w:t xml:space="preserve">Daniel </w:t>
            </w:r>
            <w:proofErr w:type="spellStart"/>
            <w:r w:rsidRPr="0030341D">
              <w:rPr>
                <w:sz w:val="20"/>
                <w:szCs w:val="20"/>
                <w:lang w:val="en-GB"/>
              </w:rPr>
              <w:t>Gros</w:t>
            </w:r>
            <w:proofErr w:type="spellEnd"/>
            <w:r w:rsidRPr="0030341D">
              <w:rPr>
                <w:sz w:val="20"/>
                <w:szCs w:val="20"/>
                <w:lang w:val="en-GB"/>
              </w:rPr>
              <w:t xml:space="preserve"> (2017), “Can the EU survive in an age of populism?”, CEPS Commentary, </w:t>
            </w:r>
            <w:hyperlink r:id="rId14" w:history="1">
              <w:r w:rsidRPr="0030341D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val="en-US" w:eastAsia="tr-TR"/>
                </w:rPr>
                <w:t>http://aei.pitt.edu/83352/1/DG_CanEUsurvivePopulism.pdf</w:t>
              </w:r>
            </w:hyperlink>
            <w:r w:rsidRPr="003034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  <w:p w14:paraId="7DCCF69E" w14:textId="691FC4DA" w:rsidR="00C431BE" w:rsidRPr="00AE7943" w:rsidRDefault="00C431BE" w:rsidP="00C431BE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4369" w:type="pct"/>
            <w:gridSpan w:val="21"/>
            <w:vAlign w:val="center"/>
          </w:tcPr>
          <w:p w14:paraId="6996AAED" w14:textId="325DCA0E" w:rsidR="003858A6" w:rsidRPr="001E67EB" w:rsidRDefault="0070020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4369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531D4CAF" w:rsidR="003858A6" w:rsidRPr="001E67EB" w:rsidRDefault="0070020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4369" w:type="pct"/>
            <w:gridSpan w:val="21"/>
            <w:vAlign w:val="center"/>
          </w:tcPr>
          <w:p w14:paraId="4E18B9A2" w14:textId="2613BF00" w:rsidR="003858A6" w:rsidRPr="001E67EB" w:rsidRDefault="0070020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86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86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0B6E04C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7CBB5668" w:rsidR="003858A6" w:rsidRPr="001E67EB" w:rsidRDefault="008A2C1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86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86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866" w:type="pct"/>
            <w:gridSpan w:val="14"/>
            <w:shd w:val="clear" w:color="auto" w:fill="auto"/>
            <w:vAlign w:val="center"/>
          </w:tcPr>
          <w:p w14:paraId="543A627F" w14:textId="7D3AF17F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4" w:type="pct"/>
            <w:gridSpan w:val="7"/>
            <w:vAlign w:val="center"/>
          </w:tcPr>
          <w:p w14:paraId="5EE19141" w14:textId="5CD63FB7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86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Attendance</w:t>
            </w:r>
            <w:proofErr w:type="spellEnd"/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86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86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866" w:type="pct"/>
            <w:gridSpan w:val="14"/>
            <w:shd w:val="clear" w:color="auto" w:fill="auto"/>
            <w:vAlign w:val="center"/>
          </w:tcPr>
          <w:p w14:paraId="5EB965F2" w14:textId="225727E6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4" w:type="pct"/>
            <w:gridSpan w:val="7"/>
            <w:vAlign w:val="center"/>
          </w:tcPr>
          <w:p w14:paraId="0988D20E" w14:textId="64B9AC55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47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39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5C593354" w14:textId="406D0CA2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94" w:type="pct"/>
            <w:gridSpan w:val="7"/>
            <w:vAlign w:val="center"/>
          </w:tcPr>
          <w:p w14:paraId="65130E0E" w14:textId="328A76B3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4" w:type="pct"/>
            <w:gridSpan w:val="7"/>
            <w:vAlign w:val="center"/>
          </w:tcPr>
          <w:p w14:paraId="270F288C" w14:textId="49AD0998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16E13893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7E7213EE" w14:textId="0E55E2D7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4" w:type="pct"/>
            <w:gridSpan w:val="7"/>
            <w:vAlign w:val="center"/>
          </w:tcPr>
          <w:p w14:paraId="79737B68" w14:textId="7E21F92C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04" w:type="pct"/>
            <w:gridSpan w:val="7"/>
            <w:vAlign w:val="center"/>
          </w:tcPr>
          <w:p w14:paraId="5E523EFD" w14:textId="3BDC97DC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32BEBB68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9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4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8232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471" w:type="pct"/>
            <w:gridSpan w:val="7"/>
            <w:vAlign w:val="center"/>
          </w:tcPr>
          <w:p w14:paraId="3F295A6B" w14:textId="18BAB2E8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4" w:type="pct"/>
            <w:gridSpan w:val="7"/>
            <w:vAlign w:val="center"/>
          </w:tcPr>
          <w:p w14:paraId="307EA066" w14:textId="4D6E3BE8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04" w:type="pct"/>
            <w:gridSpan w:val="7"/>
            <w:vAlign w:val="center"/>
          </w:tcPr>
          <w:p w14:paraId="04DC479E" w14:textId="3FF5A409" w:rsidR="003858A6" w:rsidRPr="001E67EB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FC60EE7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504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5460E3F4" w:rsidR="003858A6" w:rsidRPr="008243C2" w:rsidRDefault="00D2001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504" w:type="pct"/>
            <w:gridSpan w:val="7"/>
            <w:vAlign w:val="center"/>
          </w:tcPr>
          <w:p w14:paraId="22C3EA57" w14:textId="2415EA2C" w:rsidR="003858A6" w:rsidRPr="008243C2" w:rsidRDefault="00D2001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3" w:type="pct"/>
            <w:gridSpan w:val="23"/>
            <w:vAlign w:val="center"/>
          </w:tcPr>
          <w:p w14:paraId="63D9F06F" w14:textId="677EED63" w:rsidR="003858A6" w:rsidRPr="00670E2B" w:rsidRDefault="00D2001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</w:t>
            </w:r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nderstand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setup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</w:t>
            </w:r>
          </w:p>
        </w:tc>
      </w:tr>
      <w:tr w:rsidR="003858A6" w:rsidRPr="001E67EB" w14:paraId="65996EFB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7F7F5902" w:rsidR="003858A6" w:rsidRPr="00D2001F" w:rsidRDefault="00D2001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identify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challenges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dynamics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has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been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encountering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e.g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accession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immigration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Euroscepticism</w:t>
            </w:r>
            <w:proofErr w:type="spellEnd"/>
          </w:p>
        </w:tc>
      </w:tr>
      <w:tr w:rsidR="003858A6" w:rsidRPr="001E67EB" w14:paraId="028E2E1A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63" w:type="pct"/>
            <w:gridSpan w:val="23"/>
            <w:vAlign w:val="center"/>
          </w:tcPr>
          <w:p w14:paraId="1BAE2355" w14:textId="1AF495CE" w:rsidR="003858A6" w:rsidRPr="00670E2B" w:rsidRDefault="00D2001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obtain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methodological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00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</w:tr>
      <w:tr w:rsidR="003858A6" w:rsidRPr="001E67EB" w14:paraId="4E8861A1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238B541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3" w:type="pct"/>
            <w:gridSpan w:val="23"/>
            <w:vAlign w:val="center"/>
          </w:tcPr>
          <w:p w14:paraId="3325DC7C" w14:textId="25A3F5A1" w:rsidR="003858A6" w:rsidRPr="00670E2B" w:rsidRDefault="00EE43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conduct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own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team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train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writing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</w:t>
            </w:r>
            <w:proofErr w:type="spellEnd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43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7FAAC627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relevance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syllabus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Course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Requirements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</w:t>
            </w:r>
            <w:proofErr w:type="spellEnd"/>
          </w:p>
        </w:tc>
      </w:tr>
      <w:tr w:rsidR="003858A6" w:rsidRPr="001E67EB" w14:paraId="30EEC6D2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3" w:type="pct"/>
            <w:gridSpan w:val="23"/>
            <w:vAlign w:val="center"/>
          </w:tcPr>
          <w:p w14:paraId="4762B60C" w14:textId="5E6C9DFD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milestones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&amp;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Parameters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</w:tr>
      <w:tr w:rsidR="003858A6" w:rsidRPr="001E67EB" w14:paraId="6196DFB1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63" w:type="pct"/>
            <w:gridSpan w:val="23"/>
            <w:vAlign w:val="center"/>
          </w:tcPr>
          <w:p w14:paraId="7CD3BA16" w14:textId="19402910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Tasks</w:t>
            </w:r>
            <w:proofErr w:type="spellEnd"/>
          </w:p>
        </w:tc>
      </w:tr>
      <w:tr w:rsidR="003858A6" w:rsidRPr="001E67EB" w14:paraId="472950AC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3" w:type="pct"/>
            <w:gridSpan w:val="23"/>
            <w:vAlign w:val="center"/>
          </w:tcPr>
          <w:p w14:paraId="362511D1" w14:textId="1FAEEB77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Enlargement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Determinants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Evolution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Challenges</w:t>
            </w:r>
            <w:proofErr w:type="spellEnd"/>
          </w:p>
        </w:tc>
      </w:tr>
      <w:tr w:rsidR="003858A6" w:rsidRPr="001E67EB" w14:paraId="7CAF4187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3" w:type="pct"/>
            <w:gridSpan w:val="23"/>
            <w:vAlign w:val="center"/>
          </w:tcPr>
          <w:p w14:paraId="445B4693" w14:textId="6735EBED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An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Leading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</w:t>
            </w:r>
          </w:p>
        </w:tc>
      </w:tr>
      <w:tr w:rsidR="003858A6" w:rsidRPr="001E67EB" w14:paraId="1811C294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63" w:type="pct"/>
            <w:gridSpan w:val="23"/>
            <w:vAlign w:val="center"/>
          </w:tcPr>
          <w:p w14:paraId="29E6D8A4" w14:textId="7F9A0282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Milestones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EU-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1963-1999: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Ankara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Agreement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Official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Candidacy</w:t>
            </w:r>
            <w:proofErr w:type="spellEnd"/>
          </w:p>
        </w:tc>
      </w:tr>
      <w:tr w:rsidR="003858A6" w:rsidRPr="001E67EB" w14:paraId="6755A067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663" w:type="pct"/>
            <w:gridSpan w:val="23"/>
            <w:vAlign w:val="center"/>
          </w:tcPr>
          <w:p w14:paraId="663055BA" w14:textId="147E24C9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Milestones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EU-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2000-2008: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Official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Candidacy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Deadlock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Negotiation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Chapters</w:t>
            </w:r>
            <w:proofErr w:type="spellEnd"/>
          </w:p>
        </w:tc>
      </w:tr>
      <w:tr w:rsidR="003858A6" w:rsidRPr="001E67EB" w14:paraId="73DF57DF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63" w:type="pct"/>
            <w:gridSpan w:val="23"/>
            <w:vAlign w:val="center"/>
          </w:tcPr>
          <w:p w14:paraId="62626591" w14:textId="7C655D46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3858A6" w:rsidRPr="001E67EB" w14:paraId="2BB058BA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4663" w:type="pct"/>
            <w:gridSpan w:val="23"/>
            <w:vAlign w:val="center"/>
          </w:tcPr>
          <w:p w14:paraId="2153ECCE" w14:textId="13AC57B0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Milestones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EU-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2009-2017: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Lisbon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Treaty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</w:p>
        </w:tc>
      </w:tr>
      <w:tr w:rsidR="003858A6" w:rsidRPr="001E67EB" w14:paraId="042CCF5A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663" w:type="pct"/>
            <w:gridSpan w:val="23"/>
            <w:vAlign w:val="center"/>
          </w:tcPr>
          <w:p w14:paraId="2AFE987D" w14:textId="755F45DC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Germany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EU: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Europe’s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Constrained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Leader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</w:tr>
      <w:tr w:rsidR="003858A6" w:rsidRPr="001E67EB" w14:paraId="73800386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663" w:type="pct"/>
            <w:gridSpan w:val="23"/>
            <w:vAlign w:val="center"/>
          </w:tcPr>
          <w:p w14:paraId="22FD8911" w14:textId="0836A9BE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Immigration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Background,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Trends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Cooperation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3858A6" w:rsidRPr="001E67EB" w14:paraId="137EF7B2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663" w:type="pct"/>
            <w:gridSpan w:val="23"/>
            <w:vAlign w:val="center"/>
          </w:tcPr>
          <w:p w14:paraId="4E404AB6" w14:textId="1A6DA9DC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Europe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Neighbourhood</w:t>
            </w:r>
            <w:proofErr w:type="spellEnd"/>
          </w:p>
        </w:tc>
      </w:tr>
      <w:tr w:rsidR="003858A6" w:rsidRPr="001E67EB" w14:paraId="4647C19B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663" w:type="pct"/>
            <w:gridSpan w:val="23"/>
            <w:vAlign w:val="center"/>
          </w:tcPr>
          <w:p w14:paraId="241B4C38" w14:textId="168468A3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Opinion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Euroscepticism</w:t>
            </w:r>
            <w:proofErr w:type="spellEnd"/>
          </w:p>
        </w:tc>
      </w:tr>
      <w:tr w:rsidR="003858A6" w:rsidRPr="001E67EB" w14:paraId="26FF7403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663" w:type="pct"/>
            <w:gridSpan w:val="23"/>
            <w:vAlign w:val="center"/>
          </w:tcPr>
          <w:p w14:paraId="7A2CE2A3" w14:textId="1BBD75B0" w:rsidR="003858A6" w:rsidRPr="00670E2B" w:rsidRDefault="003510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Debates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Future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Europe,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Conclusions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10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Evaluation</w:t>
            </w:r>
          </w:p>
        </w:tc>
      </w:tr>
      <w:tr w:rsidR="003858A6" w:rsidRPr="001E67EB" w14:paraId="05F2542D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663" w:type="pct"/>
            <w:gridSpan w:val="23"/>
            <w:vAlign w:val="center"/>
          </w:tcPr>
          <w:p w14:paraId="2A07BD35" w14:textId="5BB990D2" w:rsidR="003858A6" w:rsidRPr="00670E2B" w:rsidRDefault="003510D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1225F1" w:rsidRPr="001E67EB" w14:paraId="7981C8E6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3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721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725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726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734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728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72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858A6" w:rsidRPr="001E67EB" w14:paraId="69EBDE37" w14:textId="77777777" w:rsidTr="008232A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shd w:val="clear" w:color="auto" w:fill="B6DDE8" w:themeFill="accent5" w:themeFillTint="66"/>
            <w:vAlign w:val="center"/>
          </w:tcPr>
          <w:p w14:paraId="030523F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3" w:type="pct"/>
            <w:gridSpan w:val="3"/>
            <w:vAlign w:val="center"/>
          </w:tcPr>
          <w:p w14:paraId="77411FFA" w14:textId="0DEE8A6B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1" w:type="pct"/>
            <w:gridSpan w:val="2"/>
            <w:vAlign w:val="center"/>
          </w:tcPr>
          <w:p w14:paraId="1874BFF2" w14:textId="2201D819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3"/>
            <w:vAlign w:val="center"/>
          </w:tcPr>
          <w:p w14:paraId="51F476B6" w14:textId="3BCBEA7C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6" w:type="pct"/>
            <w:gridSpan w:val="3"/>
            <w:vAlign w:val="center"/>
          </w:tcPr>
          <w:p w14:paraId="2A7B0F1E" w14:textId="18EF61C1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4" w:type="pct"/>
            <w:gridSpan w:val="6"/>
            <w:vAlign w:val="center"/>
          </w:tcPr>
          <w:p w14:paraId="4DFFB40F" w14:textId="3C5ED96C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8" w:type="pct"/>
            <w:gridSpan w:val="4"/>
            <w:vAlign w:val="center"/>
          </w:tcPr>
          <w:p w14:paraId="65AB8C32" w14:textId="3285E043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2"/>
            <w:vAlign w:val="center"/>
          </w:tcPr>
          <w:p w14:paraId="012E57D3" w14:textId="54F93830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813662E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shd w:val="clear" w:color="auto" w:fill="B6DDE8" w:themeFill="accent5" w:themeFillTint="66"/>
            <w:vAlign w:val="center"/>
          </w:tcPr>
          <w:p w14:paraId="18B8D6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14:paraId="0605D403" w14:textId="1340DC40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1" w:type="pct"/>
            <w:gridSpan w:val="2"/>
            <w:vAlign w:val="center"/>
          </w:tcPr>
          <w:p w14:paraId="28A3191C" w14:textId="77ED7F12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3"/>
            <w:vAlign w:val="center"/>
          </w:tcPr>
          <w:p w14:paraId="14070C7C" w14:textId="6D30DC7C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6" w:type="pct"/>
            <w:gridSpan w:val="3"/>
            <w:vAlign w:val="center"/>
          </w:tcPr>
          <w:p w14:paraId="6D76A532" w14:textId="06876022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4" w:type="pct"/>
            <w:gridSpan w:val="6"/>
            <w:vAlign w:val="center"/>
          </w:tcPr>
          <w:p w14:paraId="7BAC592F" w14:textId="1DC7EA10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8" w:type="pct"/>
            <w:gridSpan w:val="4"/>
            <w:vAlign w:val="center"/>
          </w:tcPr>
          <w:p w14:paraId="1DE6612E" w14:textId="127FBF29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2"/>
            <w:vAlign w:val="center"/>
          </w:tcPr>
          <w:p w14:paraId="2A2AD3FD" w14:textId="49D55452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5280BB4" w14:textId="77777777" w:rsidTr="008232A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shd w:val="clear" w:color="auto" w:fill="B6DDE8" w:themeFill="accent5" w:themeFillTint="66"/>
            <w:vAlign w:val="center"/>
          </w:tcPr>
          <w:p w14:paraId="2B43C15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3" w:type="pct"/>
            <w:gridSpan w:val="3"/>
            <w:vAlign w:val="center"/>
          </w:tcPr>
          <w:p w14:paraId="615BE24B" w14:textId="772955A8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1" w:type="pct"/>
            <w:gridSpan w:val="2"/>
            <w:vAlign w:val="center"/>
          </w:tcPr>
          <w:p w14:paraId="1D0534FC" w14:textId="1810B21F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3"/>
            <w:vAlign w:val="center"/>
          </w:tcPr>
          <w:p w14:paraId="6BCE63F0" w14:textId="54E52622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6" w:type="pct"/>
            <w:gridSpan w:val="3"/>
            <w:vAlign w:val="center"/>
          </w:tcPr>
          <w:p w14:paraId="67DCD776" w14:textId="75F4B7CC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4" w:type="pct"/>
            <w:gridSpan w:val="6"/>
            <w:vAlign w:val="center"/>
          </w:tcPr>
          <w:p w14:paraId="1E42ABA7" w14:textId="196B3BE2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8" w:type="pct"/>
            <w:gridSpan w:val="4"/>
            <w:vAlign w:val="center"/>
          </w:tcPr>
          <w:p w14:paraId="7EBFDAB7" w14:textId="483BF7F5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2"/>
            <w:vAlign w:val="center"/>
          </w:tcPr>
          <w:p w14:paraId="21368F66" w14:textId="3FA44CBE" w:rsidR="003858A6" w:rsidRPr="001E67EB" w:rsidRDefault="00A6112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0C835CD7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shd w:val="clear" w:color="auto" w:fill="B6DDE8" w:themeFill="accent5" w:themeFillTint="66"/>
            <w:vAlign w:val="center"/>
          </w:tcPr>
          <w:p w14:paraId="2C55D57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14:paraId="73EA8D8B" w14:textId="07C81608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1" w:type="pct"/>
            <w:gridSpan w:val="2"/>
            <w:vAlign w:val="center"/>
          </w:tcPr>
          <w:p w14:paraId="0844F580" w14:textId="4E8E2934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3"/>
            <w:vAlign w:val="center"/>
          </w:tcPr>
          <w:p w14:paraId="588AE778" w14:textId="2CAEF232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6" w:type="pct"/>
            <w:gridSpan w:val="3"/>
            <w:vAlign w:val="center"/>
          </w:tcPr>
          <w:p w14:paraId="63DEDABB" w14:textId="39C3EEDA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4" w:type="pct"/>
            <w:gridSpan w:val="6"/>
            <w:vAlign w:val="center"/>
          </w:tcPr>
          <w:p w14:paraId="777A269A" w14:textId="26843A79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pct"/>
            <w:gridSpan w:val="4"/>
            <w:vAlign w:val="center"/>
          </w:tcPr>
          <w:p w14:paraId="2427C6A7" w14:textId="13478829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5" w:type="pct"/>
            <w:gridSpan w:val="2"/>
            <w:vAlign w:val="center"/>
          </w:tcPr>
          <w:p w14:paraId="24FCACF1" w14:textId="1D20ED97" w:rsidR="003858A6" w:rsidRPr="001E67EB" w:rsidRDefault="00A6112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75ACDD72" w14:textId="77777777" w:rsidTr="008232A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  <w:vAlign w:val="center"/>
          </w:tcPr>
          <w:p w14:paraId="2901989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4399" w:type="pct"/>
            <w:gridSpan w:val="22"/>
            <w:vAlign w:val="center"/>
          </w:tcPr>
          <w:p w14:paraId="3D475C4D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1A1AB5BD" w:rsidR="003858A6" w:rsidRPr="00470AE4" w:rsidRDefault="008A2C11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A2C1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3F08A98A" w14:textId="77777777" w:rsidTr="008232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  <w:vAlign w:val="center"/>
          </w:tcPr>
          <w:p w14:paraId="0598CF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399" w:type="pct"/>
            <w:gridSpan w:val="22"/>
            <w:vAlign w:val="center"/>
          </w:tcPr>
          <w:p w14:paraId="525FC4AB" w14:textId="024D5919" w:rsidR="003858A6" w:rsidRPr="001E67EB" w:rsidRDefault="008A2C1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A6112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Efsane Deniz Baş </w:t>
            </w:r>
          </w:p>
        </w:tc>
      </w:tr>
      <w:tr w:rsidR="003858A6" w:rsidRPr="001E67EB" w14:paraId="006C5572" w14:textId="77777777" w:rsidTr="0082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3212C3A4" w:rsidR="003858A6" w:rsidRPr="001E67EB" w:rsidRDefault="0055761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</w:t>
            </w:r>
            <w:proofErr w:type="spellEnd"/>
            <w:r w:rsidR="003858A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399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2C5F1C83" w:rsidR="003858A6" w:rsidRPr="001E67EB" w:rsidRDefault="008A2C11" w:rsidP="005576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5576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15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A0A5" w14:textId="77777777" w:rsidR="00ED6BFD" w:rsidRDefault="00ED6BFD" w:rsidP="003F0441">
      <w:pPr>
        <w:spacing w:after="0" w:line="240" w:lineRule="auto"/>
      </w:pPr>
      <w:r>
        <w:separator/>
      </w:r>
    </w:p>
  </w:endnote>
  <w:endnote w:type="continuationSeparator" w:id="0">
    <w:p w14:paraId="223FA3C0" w14:textId="77777777" w:rsidR="00ED6BFD" w:rsidRDefault="00ED6BF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016D" w14:textId="77777777" w:rsidR="00ED6BFD" w:rsidRDefault="00ED6BFD" w:rsidP="003F0441">
      <w:pPr>
        <w:spacing w:after="0" w:line="240" w:lineRule="auto"/>
      </w:pPr>
      <w:r>
        <w:separator/>
      </w:r>
    </w:p>
  </w:footnote>
  <w:footnote w:type="continuationSeparator" w:id="0">
    <w:p w14:paraId="7F03AF42" w14:textId="77777777" w:rsidR="00ED6BFD" w:rsidRDefault="00ED6BF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79AAA9C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BA"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63E22E0C" w14:textId="77777777" w:rsidR="00EE43B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>ÄT FÜR</w:t>
    </w:r>
    <w:r w:rsidR="00EE43BA">
      <w:rPr>
        <w:rFonts w:ascii="Corbel" w:hAnsi="Corbel" w:cs="Arial"/>
        <w:color w:val="169AA4"/>
        <w:lang w:val="de-AT"/>
      </w:rPr>
      <w:t xml:space="preserve"> WIRTSCHAFTS- UND </w:t>
    </w:r>
  </w:p>
  <w:p w14:paraId="30B85821" w14:textId="4FFACEF3" w:rsidR="00FA169D" w:rsidRPr="00BE37D6" w:rsidRDefault="00EE43B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VELWALTUNSWISSENSCHAFTEN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24D982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EE43BA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5294"/>
    <w:multiLevelType w:val="hybridMultilevel"/>
    <w:tmpl w:val="ACD6396A"/>
    <w:lvl w:ilvl="0" w:tplc="041F000F">
      <w:start w:val="1"/>
      <w:numFmt w:val="decimal"/>
      <w:lvlText w:val="%1."/>
      <w:lvlJc w:val="left"/>
      <w:pPr>
        <w:ind w:left="637" w:hanging="360"/>
      </w:pPr>
      <w:rPr>
        <w:rFonts w:hint="default"/>
        <w:lang w:val="tr-TR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33E"/>
    <w:multiLevelType w:val="hybridMultilevel"/>
    <w:tmpl w:val="8996CDFE"/>
    <w:lvl w:ilvl="0" w:tplc="390E599C">
      <w:start w:val="1"/>
      <w:numFmt w:val="decimal"/>
      <w:lvlText w:val="%1."/>
      <w:lvlJc w:val="left"/>
      <w:pPr>
        <w:ind w:left="637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6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25F1"/>
    <w:rsid w:val="001262BB"/>
    <w:rsid w:val="00134B74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0341D"/>
    <w:rsid w:val="003240F5"/>
    <w:rsid w:val="00344F0D"/>
    <w:rsid w:val="003510D8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57610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76F7E"/>
    <w:rsid w:val="006A6E97"/>
    <w:rsid w:val="006E0CF0"/>
    <w:rsid w:val="006E28BC"/>
    <w:rsid w:val="006E45E8"/>
    <w:rsid w:val="00700202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32A1"/>
    <w:rsid w:val="008243C2"/>
    <w:rsid w:val="00834145"/>
    <w:rsid w:val="00840308"/>
    <w:rsid w:val="00863DB2"/>
    <w:rsid w:val="0088754E"/>
    <w:rsid w:val="00892706"/>
    <w:rsid w:val="0089790F"/>
    <w:rsid w:val="008A2C11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61124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5466"/>
    <w:rsid w:val="00B91F9D"/>
    <w:rsid w:val="00BA0E92"/>
    <w:rsid w:val="00BA39D3"/>
    <w:rsid w:val="00BA65DD"/>
    <w:rsid w:val="00BB79D8"/>
    <w:rsid w:val="00BD61E0"/>
    <w:rsid w:val="00BF0E40"/>
    <w:rsid w:val="00C0705D"/>
    <w:rsid w:val="00C143C2"/>
    <w:rsid w:val="00C40620"/>
    <w:rsid w:val="00C41A3F"/>
    <w:rsid w:val="00C431BE"/>
    <w:rsid w:val="00C457F2"/>
    <w:rsid w:val="00C53C5B"/>
    <w:rsid w:val="00C83EDD"/>
    <w:rsid w:val="00C8473F"/>
    <w:rsid w:val="00CB3401"/>
    <w:rsid w:val="00D07145"/>
    <w:rsid w:val="00D2001F"/>
    <w:rsid w:val="00D27C16"/>
    <w:rsid w:val="00D42F4D"/>
    <w:rsid w:val="00D873D4"/>
    <w:rsid w:val="00D932F9"/>
    <w:rsid w:val="00DA23F0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D6BFD"/>
    <w:rsid w:val="00EE1A4F"/>
    <w:rsid w:val="00EE2881"/>
    <w:rsid w:val="00EE43BA"/>
    <w:rsid w:val="00F359C0"/>
    <w:rsid w:val="00F5612B"/>
    <w:rsid w:val="00F677D0"/>
    <w:rsid w:val="00F97328"/>
    <w:rsid w:val="00FA169D"/>
    <w:rsid w:val="00FA75E6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4782804.2016.1198693" TargetMode="External"/><Relationship Id="rId13" Type="http://schemas.openxmlformats.org/officeDocument/2006/relationships/hyperlink" Target="https://ec.europa.eu/research/iscp/pdf/policy/com_2011_3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ceton.edu/~amoravcs/library/deficit.pdf" TargetMode="External"/><Relationship Id="rId12" Type="http://schemas.openxmlformats.org/officeDocument/2006/relationships/hyperlink" Target="https://www.bundestag.de/blob/189786/ba487d40183044e475f2e4e4b098dd85/europe_cooperation-dat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european-union/about-eu/history_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ai.it/sites/default/files/gte_wp_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ces.org/documents/papers/1401/turhan.pdf" TargetMode="External"/><Relationship Id="rId14" Type="http://schemas.openxmlformats.org/officeDocument/2006/relationships/hyperlink" Target="http://aei.pitt.edu/83352/1/DG_CanEUsurvivePopulis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2020-03-09T16:44:00Z</dcterms:created>
  <dcterms:modified xsi:type="dcterms:W3CDTF">2022-05-06T06:48:00Z</dcterms:modified>
</cp:coreProperties>
</file>