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F6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F63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6933F63" w:rsidR="007B4543" w:rsidRPr="00F359C0" w:rsidRDefault="003E222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303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670F1489" w:rsidR="007B4543" w:rsidRPr="00F359C0" w:rsidRDefault="004B028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DF398C5" w:rsidR="007B4543" w:rsidRPr="00F359C0" w:rsidRDefault="003E22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38F72F6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F63C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C693EE9" w:rsidR="007B4543" w:rsidRPr="00F359C0" w:rsidRDefault="003E2220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E222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3E222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E222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3FAA67C2" w:rsidR="00C26F90" w:rsidRPr="001E67EB" w:rsidRDefault="004C608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1A9DBA7E" w:rsidR="00C26F90" w:rsidRPr="008C7E47" w:rsidRDefault="003E2220" w:rsidP="004B02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economy</w:t>
            </w:r>
            <w:proofErr w:type="spellEnd"/>
          </w:p>
        </w:tc>
      </w:tr>
      <w:tr w:rsidR="00C26F90" w:rsidRPr="001E67EB" w14:paraId="22D9CE0E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1947CA5D" w:rsidR="00C26F90" w:rsidRPr="00EF7B84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gives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subject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areas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economy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IPÖ,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two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sectors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production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finance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),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three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Differences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regionalization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economy</w:t>
            </w:r>
            <w:proofErr w:type="spellEnd"/>
            <w:r w:rsidRPr="003E2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AB43BF" w:rsidRPr="001E67EB" w14:paraId="40D7E76E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7311C17D" w:rsidR="00AB43BF" w:rsidRPr="001E67EB" w:rsidRDefault="00AB43BF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B43BF" w:rsidRPr="001E67EB" w14:paraId="2FF8EB6E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12F844FE" w:rsidR="00AB43BF" w:rsidRPr="001E67EB" w:rsidRDefault="00F63C0A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Manuel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Knoll</w:t>
            </w:r>
            <w:proofErr w:type="spellEnd"/>
          </w:p>
        </w:tc>
      </w:tr>
      <w:tr w:rsidR="00AB43BF" w:rsidRPr="001E67EB" w14:paraId="0D987DF9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0C74D28" w:rsidR="00AB43BF" w:rsidRPr="001E67EB" w:rsidRDefault="00F63C0A" w:rsidP="00F63C0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Manuel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Knoll</w:t>
            </w:r>
            <w:proofErr w:type="spellEnd"/>
          </w:p>
        </w:tc>
      </w:tr>
      <w:tr w:rsidR="00AB43BF" w:rsidRPr="001E67EB" w14:paraId="6CE0E122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24CAD03A" w:rsidR="00AB43BF" w:rsidRPr="001E67EB" w:rsidRDefault="00AB43BF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B43BF" w:rsidRPr="001E67EB" w14:paraId="76479239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001F435" w:rsidR="00AB43BF" w:rsidRPr="001E67EB" w:rsidRDefault="00AB43BF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4B0284" w:rsidRPr="001E67EB" w14:paraId="55501BC1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4B0284" w:rsidRPr="001E67EB" w:rsidRDefault="004B0284" w:rsidP="004B028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587ECF91" w:rsidR="004B0284" w:rsidRPr="008C7E47" w:rsidRDefault="003E2220" w:rsidP="004B02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Schirm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Stefan A. (2013):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Ökonomie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</w:p>
        </w:tc>
      </w:tr>
      <w:tr w:rsidR="003E2220" w:rsidRPr="001E67EB" w14:paraId="13D046B1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2FED3057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-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Bieling</w:t>
            </w:r>
            <w:proofErr w:type="spellEnd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, Hans-Jürgen (2011): Internationale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Politische</w:t>
            </w:r>
            <w:proofErr w:type="spellEnd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Ökonomie</w:t>
            </w:r>
            <w:proofErr w:type="spellEnd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: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Eine</w:t>
            </w:r>
            <w:proofErr w:type="spellEnd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Einführung</w:t>
            </w:r>
            <w:proofErr w:type="spellEnd"/>
            <w:r w:rsidRP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.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Wiesbaden: Springer VS</w:t>
            </w:r>
          </w:p>
          <w:p w14:paraId="39644D27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Kessler, Oliver (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 (2011): Die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Ökonomie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Weltfinanzkrise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Wiesbaden: Springer VS</w:t>
            </w:r>
          </w:p>
          <w:p w14:paraId="57F098F3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Wullweber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Joscha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/ Graf, Antonia/ Behrens, Maria (2013):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Theorien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Ökonomie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Wiesbaden: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Springer VS</w:t>
            </w:r>
          </w:p>
          <w:p w14:paraId="44287C91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Informationen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Nr. 325/2015: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jenseits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des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Nationalstaates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Bonn: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Bundeszentrale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603F9BCB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Informationen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Nr. 331/2016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Naher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Osten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Bonn: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Bundeszentrale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Englischsprachige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Literatur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:</w:t>
            </w:r>
          </w:p>
          <w:p w14:paraId="0348A1C7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Buğra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Ayşe/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Savaşkan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Osman (2014): New Capitalism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Turkey: The Relationship between Politics, Religion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Business. Cheltenham: Edward Elgar</w:t>
            </w:r>
          </w:p>
          <w:p w14:paraId="1472F968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Cammett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Melani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et al. (2015): A Political Economy of 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Middle East. Boulder, Colo.: Westview (previously: Waterbury at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al. (2013): A Political Economy of the Middle East)</w:t>
            </w:r>
          </w:p>
          <w:p w14:paraId="19D6C169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Frieden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Jeffry A./Lake, David A./ Broz, J. Lawrence (2017):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 Political Economy: Perspectives on Global Power</w:t>
            </w:r>
          </w:p>
          <w:p w14:paraId="5EC68D38" w14:textId="77777777" w:rsidR="003E2220" w:rsidRPr="003925B7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Wealth. London: Routledge TAU: HF 1411 INT 2009</w:t>
            </w:r>
          </w:p>
          <w:p w14:paraId="40B250BD" w14:textId="02248067" w:rsidR="003E2220" w:rsidRPr="00206DE3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 xml:space="preserve">- </w:t>
            </w:r>
            <w:proofErr w:type="spellStart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Ravenhill</w:t>
            </w:r>
            <w:proofErr w:type="spellEnd"/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John (ed.) (2008): Global Political Economy. Oxford: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OUP</w:t>
            </w:r>
          </w:p>
        </w:tc>
      </w:tr>
      <w:tr w:rsidR="003E2220" w:rsidRPr="001E67EB" w14:paraId="59E6CE81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3E2220" w:rsidRPr="001E67EB" w14:paraId="36E582C8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3E2220" w:rsidRPr="001E67EB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E2220" w:rsidRPr="001E67EB" w14:paraId="6D73B935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3E2220" w:rsidRPr="001E67E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E2220" w:rsidRPr="001E67EB" w14:paraId="44CACAD0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3E2220" w:rsidRPr="001E67EB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E2220" w:rsidRPr="001E67EB" w14:paraId="7291B354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3E2220" w:rsidRPr="001E67EB" w14:paraId="31EC1A7E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53DAFBEF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5948B214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3E8F996A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4C8A343D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1EC49245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74F2903F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1AF4D93F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3E2220" w:rsidRPr="001F3FB4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E2220" w:rsidRPr="001E67EB" w14:paraId="14133261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3E2220" w:rsidRPr="001E67EB" w14:paraId="3E720700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3E2220" w:rsidRPr="008D7635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3E2220" w:rsidRPr="00AA4C9A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3E2220" w:rsidRPr="00AA4C9A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3E2220" w:rsidRPr="001E67EB" w14:paraId="7D3827B9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E2220" w:rsidRPr="001E67EB" w14:paraId="4748CC87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3C749C54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7E3A0B7A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15D20C12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178B6F65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0102631F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3E2220" w:rsidRPr="00B21C1A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E2220" w:rsidRPr="001E67EB" w14:paraId="3871EEC0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3E2220" w:rsidRPr="00AA4C9A" w:rsidRDefault="003E2220" w:rsidP="003E22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3E2220" w:rsidRPr="008D7635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E2220" w:rsidRPr="001E67EB" w14:paraId="28310614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3E2220" w:rsidRPr="001E67EB" w14:paraId="2C39FB0F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3E2220" w:rsidRPr="00762FC7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3E2220" w:rsidRPr="00762FC7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3E2220" w:rsidRPr="00762FC7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3E2220" w:rsidRPr="00762FC7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E2220" w:rsidRPr="001E67EB" w14:paraId="35E9DC65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</w:tcPr>
          <w:p w14:paraId="797E17CB" w14:textId="45B0EDE9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15</w:t>
            </w:r>
          </w:p>
        </w:tc>
        <w:tc>
          <w:tcPr>
            <w:tcW w:w="2556" w:type="dxa"/>
            <w:gridSpan w:val="7"/>
          </w:tcPr>
          <w:p w14:paraId="7563C718" w14:textId="3C10143F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3</w:t>
            </w:r>
          </w:p>
        </w:tc>
        <w:tc>
          <w:tcPr>
            <w:tcW w:w="2683" w:type="dxa"/>
            <w:gridSpan w:val="8"/>
          </w:tcPr>
          <w:p w14:paraId="0FD9E9C5" w14:textId="332E77ED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45</w:t>
            </w:r>
          </w:p>
        </w:tc>
      </w:tr>
      <w:tr w:rsidR="003E2220" w:rsidRPr="001E67EB" w14:paraId="039ED940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3A89E8EB" w14:textId="66E67A25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57B9455A" w14:textId="2A5DADEF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A6808F" w14:textId="2798C22B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4E85F04A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</w:tcPr>
          <w:p w14:paraId="46CBED00" w14:textId="49CCD42B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</w:tcPr>
          <w:p w14:paraId="184FF1CB" w14:textId="28EDE73D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4DFBC373" w14:textId="32E8D2DB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3612D9B2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18083F93" w14:textId="08F6C74B" w:rsidR="003E2220" w:rsidRPr="001E67E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0F7BA4A0" w14:textId="1DC2960E" w:rsidR="003E2220" w:rsidRPr="001E67E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746C6" w14:textId="13B33FDE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21CF5AF2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</w:tcPr>
          <w:p w14:paraId="19F1719A" w14:textId="6F03EB13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1</w:t>
            </w:r>
          </w:p>
        </w:tc>
        <w:tc>
          <w:tcPr>
            <w:tcW w:w="2556" w:type="dxa"/>
            <w:gridSpan w:val="7"/>
          </w:tcPr>
          <w:p w14:paraId="5E9FDFE2" w14:textId="2A95F86C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1,5</w:t>
            </w:r>
          </w:p>
        </w:tc>
        <w:tc>
          <w:tcPr>
            <w:tcW w:w="2683" w:type="dxa"/>
            <w:gridSpan w:val="8"/>
          </w:tcPr>
          <w:p w14:paraId="365CD11F" w14:textId="6F76F95D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50</w:t>
            </w:r>
          </w:p>
        </w:tc>
      </w:tr>
      <w:tr w:rsidR="003E2220" w:rsidRPr="001E67EB" w14:paraId="4DF84780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8E8E654" w14:textId="429D1E4F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69D8E9AC" w14:textId="6A1F0203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895E6D" w14:textId="3FB3A71E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52D4B118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</w:tcPr>
          <w:p w14:paraId="344A6226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</w:tcPr>
          <w:p w14:paraId="24A42113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4795A481" w14:textId="77777777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5FC908FF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3E2220" w:rsidRPr="00762FC7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0491BE6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0FC00978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37FBF0" w14:textId="77777777" w:rsidR="003E2220" w:rsidRPr="001E67EB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2220" w:rsidRPr="001E67EB" w14:paraId="51B6215F" w14:textId="77777777" w:rsidTr="00F63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</w:tcPr>
          <w:p w14:paraId="2D547DBF" w14:textId="10F11AE9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1</w:t>
            </w:r>
          </w:p>
        </w:tc>
        <w:tc>
          <w:tcPr>
            <w:tcW w:w="2556" w:type="dxa"/>
            <w:gridSpan w:val="7"/>
          </w:tcPr>
          <w:p w14:paraId="1D68D27E" w14:textId="402BE89D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2</w:t>
            </w:r>
          </w:p>
        </w:tc>
        <w:tc>
          <w:tcPr>
            <w:tcW w:w="2683" w:type="dxa"/>
            <w:gridSpan w:val="8"/>
          </w:tcPr>
          <w:p w14:paraId="595FF7E6" w14:textId="449CB192" w:rsidR="003E2220" w:rsidRPr="001E67EB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2F0C">
              <w:t>55</w:t>
            </w:r>
          </w:p>
        </w:tc>
      </w:tr>
      <w:tr w:rsidR="003E2220" w:rsidRPr="001E67EB" w14:paraId="37211A59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3E2220" w:rsidRPr="001E67EB" w:rsidRDefault="003E2220" w:rsidP="003E22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3E2220" w:rsidRPr="008243C2" w:rsidRDefault="003E2220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E2220" w:rsidRPr="001E67EB" w14:paraId="1BD7795C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3E2220" w:rsidRPr="001E67EB" w:rsidRDefault="003E2220" w:rsidP="003E22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3E2220" w:rsidRPr="008243C2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E2220" w:rsidRPr="001E67EB" w14:paraId="1BB8FF36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3E2220" w:rsidRPr="006E28BC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3E2220" w:rsidRPr="001E67EB" w14:paraId="66219527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354FDA97" w:rsidR="003E2220" w:rsidRPr="00C226A4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sectors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IPÖ.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strengths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weaknesses</w:t>
            </w:r>
            <w:proofErr w:type="spellEnd"/>
            <w:r>
              <w:t xml:space="preserve"> of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can </w:t>
            </w:r>
            <w:proofErr w:type="spellStart"/>
            <w:r>
              <w:t>independently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sub-areas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IPÖ </w:t>
            </w:r>
            <w:proofErr w:type="spellStart"/>
            <w:r>
              <w:t>deepen</w:t>
            </w:r>
            <w:proofErr w:type="spellEnd"/>
            <w:r>
              <w:t xml:space="preserve"> 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can ask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on a </w:t>
            </w:r>
            <w:proofErr w:type="spellStart"/>
            <w:r>
              <w:t>formulate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in a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systematic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discuss</w:t>
            </w:r>
            <w:proofErr w:type="spellEnd"/>
            <w:r>
              <w:t>.</w:t>
            </w:r>
          </w:p>
        </w:tc>
      </w:tr>
      <w:tr w:rsidR="003E2220" w:rsidRPr="001E67EB" w14:paraId="52067E6D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3E2220" w:rsidRPr="00BD61E0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3E2220" w:rsidRPr="001E67EB" w14:paraId="15098330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4C55F6D0" w:rsidR="003E2220" w:rsidRPr="00A22042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D533C">
              <w:t>Political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Economy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Definitions</w:t>
            </w:r>
            <w:proofErr w:type="spellEnd"/>
          </w:p>
        </w:tc>
      </w:tr>
      <w:tr w:rsidR="003E2220" w:rsidRPr="001E67EB" w14:paraId="12E43780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71170D8E" w:rsidR="003E2220" w:rsidRPr="00670E2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D533C">
              <w:t>Theory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formation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discourses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debates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schools</w:t>
            </w:r>
            <w:proofErr w:type="spellEnd"/>
          </w:p>
        </w:tc>
      </w:tr>
      <w:tr w:rsidR="003E2220" w:rsidRPr="001E67EB" w14:paraId="56597950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0ED2A308" w:rsidR="003E2220" w:rsidRPr="003E3AFD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Dimensions</w:t>
            </w:r>
            <w:proofErr w:type="spellEnd"/>
            <w:r w:rsidRPr="008D533C">
              <w:t xml:space="preserve"> (</w:t>
            </w:r>
            <w:proofErr w:type="spellStart"/>
            <w:r w:rsidRPr="008D533C">
              <w:t>trade</w:t>
            </w:r>
            <w:proofErr w:type="spellEnd"/>
            <w:r w:rsidRPr="008D533C">
              <w:t xml:space="preserve"> in </w:t>
            </w:r>
            <w:proofErr w:type="spellStart"/>
            <w:r w:rsidRPr="008D533C">
              <w:t>goods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and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services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direct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investment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financial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markets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technology</w:t>
            </w:r>
            <w:proofErr w:type="spellEnd"/>
            <w:r w:rsidRPr="008D533C">
              <w:t xml:space="preserve"> transfer, </w:t>
            </w:r>
            <w:proofErr w:type="spellStart"/>
            <w:r w:rsidRPr="008D533C">
              <w:t>intellectual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property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social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standards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environmental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standards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etc</w:t>
            </w:r>
            <w:proofErr w:type="spellEnd"/>
            <w:r w:rsidRPr="008D533C">
              <w:t>.)</w:t>
            </w:r>
          </w:p>
        </w:tc>
      </w:tr>
      <w:tr w:rsidR="003E2220" w:rsidRPr="001E67EB" w14:paraId="74381D9E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252A6C8" w:rsidR="003E2220" w:rsidRPr="003E3AFD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Actors</w:t>
            </w:r>
            <w:proofErr w:type="spellEnd"/>
            <w:r w:rsidRPr="008D533C">
              <w:t xml:space="preserve"> (</w:t>
            </w:r>
            <w:proofErr w:type="spellStart"/>
            <w:r w:rsidRPr="008D533C">
              <w:t>states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corporations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unions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associations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international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organizations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regional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organizations</w:t>
            </w:r>
            <w:proofErr w:type="spellEnd"/>
            <w:r w:rsidRPr="008D533C">
              <w:t>)</w:t>
            </w:r>
          </w:p>
        </w:tc>
      </w:tr>
      <w:tr w:rsidR="003E2220" w:rsidRPr="001E67EB" w14:paraId="30D1A39E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46CDD3FD" w:rsidR="003E2220" w:rsidRPr="003E3AFD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Levels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action</w:t>
            </w:r>
            <w:proofErr w:type="spellEnd"/>
            <w:r w:rsidRPr="008D533C">
              <w:t xml:space="preserve"> (</w:t>
            </w:r>
            <w:proofErr w:type="spellStart"/>
            <w:r w:rsidRPr="008D533C">
              <w:t>national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regional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transregional</w:t>
            </w:r>
            <w:proofErr w:type="spellEnd"/>
            <w:r w:rsidRPr="008D533C">
              <w:t xml:space="preserve">, </w:t>
            </w:r>
            <w:proofErr w:type="gramStart"/>
            <w:r w:rsidRPr="008D533C">
              <w:t>global</w:t>
            </w:r>
            <w:proofErr w:type="gramEnd"/>
            <w:r w:rsidRPr="008D533C">
              <w:t>)</w:t>
            </w:r>
          </w:p>
        </w:tc>
      </w:tr>
      <w:tr w:rsidR="003E2220" w:rsidRPr="001E67EB" w14:paraId="228973DA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7FD40F12" w:rsidR="003E2220" w:rsidRPr="003E3AFD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Policies</w:t>
            </w:r>
            <w:proofErr w:type="spellEnd"/>
            <w:r w:rsidRPr="008D533C">
              <w:t xml:space="preserve"> / </w:t>
            </w:r>
            <w:proofErr w:type="spellStart"/>
            <w:r w:rsidRPr="008D533C">
              <w:t>instruments</w:t>
            </w:r>
            <w:proofErr w:type="spellEnd"/>
            <w:r w:rsidRPr="008D533C">
              <w:t xml:space="preserve"> (</w:t>
            </w:r>
            <w:proofErr w:type="spellStart"/>
            <w:r w:rsidRPr="008D533C">
              <w:t>customs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duties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quotas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bans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monetary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policy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subsidies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non-tariff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trade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barriers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bilateral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and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multilateral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contracts</w:t>
            </w:r>
            <w:proofErr w:type="spellEnd"/>
            <w:r w:rsidRPr="008D533C">
              <w:t xml:space="preserve">, </w:t>
            </w:r>
            <w:proofErr w:type="spellStart"/>
            <w:r w:rsidRPr="008D533C">
              <w:t>political</w:t>
            </w:r>
            <w:proofErr w:type="spellEnd"/>
            <w:r w:rsidRPr="008D533C">
              <w:t xml:space="preserve"> / </w:t>
            </w:r>
            <w:proofErr w:type="spellStart"/>
            <w:r w:rsidRPr="008D533C">
              <w:t>military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pressure</w:t>
            </w:r>
            <w:proofErr w:type="spellEnd"/>
            <w:r w:rsidRPr="008D533C">
              <w:t>)</w:t>
            </w:r>
          </w:p>
        </w:tc>
      </w:tr>
      <w:tr w:rsidR="003E2220" w:rsidRPr="001E67EB" w14:paraId="2E0AA05A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642061A5" w:rsidR="003E2220" w:rsidRPr="003E3AFD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mercantilism</w:t>
            </w:r>
            <w:proofErr w:type="spellEnd"/>
          </w:p>
        </w:tc>
      </w:tr>
      <w:tr w:rsidR="003E2220" w:rsidRPr="001E67EB" w14:paraId="61B8A781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72611B28" w:rsidR="003E2220" w:rsidRPr="003E3AFD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Theorem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comparative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costs</w:t>
            </w:r>
            <w:proofErr w:type="spellEnd"/>
          </w:p>
        </w:tc>
      </w:tr>
      <w:tr w:rsidR="003E2220" w:rsidRPr="001E67EB" w14:paraId="55D3B678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67831085" w:rsidR="003E2220" w:rsidRPr="003E3AFD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D533C">
              <w:t>Ricardo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Theorem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and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the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Consequences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the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Ricardo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Theorem</w:t>
            </w:r>
            <w:proofErr w:type="spellEnd"/>
          </w:p>
        </w:tc>
      </w:tr>
      <w:tr w:rsidR="003E2220" w:rsidRPr="001E67EB" w14:paraId="7680394E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5167EE65" w:rsidR="003E2220" w:rsidRPr="00670E2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D533C">
              <w:t xml:space="preserve">Classic </w:t>
            </w:r>
            <w:proofErr w:type="spellStart"/>
            <w:r w:rsidRPr="008D533C">
              <w:t>and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neoclassical</w:t>
            </w:r>
            <w:proofErr w:type="spellEnd"/>
          </w:p>
        </w:tc>
      </w:tr>
      <w:tr w:rsidR="003E2220" w:rsidRPr="001E67EB" w14:paraId="591D57BD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52D87F04" w:rsidR="003E2220" w:rsidRPr="00670E2B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D533C">
              <w:t>Keynesianism</w:t>
            </w:r>
            <w:proofErr w:type="spellEnd"/>
          </w:p>
        </w:tc>
      </w:tr>
      <w:tr w:rsidR="003E2220" w:rsidRPr="001E67EB" w14:paraId="322BB4F3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143E0538" w:rsidR="003E2220" w:rsidRPr="00670E2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D533C">
              <w:t>Theory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international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public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goods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intra-sectoral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division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labor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institutional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economics</w:t>
            </w:r>
            <w:proofErr w:type="spellEnd"/>
          </w:p>
        </w:tc>
      </w:tr>
      <w:tr w:rsidR="003E2220" w:rsidRPr="001E67EB" w14:paraId="5D225431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7CB0F150" w:rsidR="003E2220" w:rsidRPr="00670E2B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D533C">
              <w:t>The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Terms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Trade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Singer</w:t>
            </w:r>
            <w:proofErr w:type="spellEnd"/>
            <w:r w:rsidRPr="008D533C">
              <w:t xml:space="preserve"> / </w:t>
            </w:r>
            <w:proofErr w:type="spellStart"/>
            <w:r w:rsidRPr="008D533C">
              <w:t>Prebisch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Thesis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and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Theoretical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Consequences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Prebisch</w:t>
            </w:r>
            <w:proofErr w:type="spellEnd"/>
            <w:r w:rsidRPr="008D533C">
              <w:t xml:space="preserve"> / </w:t>
            </w:r>
            <w:proofErr w:type="spellStart"/>
            <w:r w:rsidRPr="008D533C">
              <w:t>Singer</w:t>
            </w:r>
            <w:proofErr w:type="spellEnd"/>
          </w:p>
        </w:tc>
      </w:tr>
      <w:tr w:rsidR="003E2220" w:rsidRPr="001E67EB" w14:paraId="7A8A126B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7D6B68DD" w:rsidR="003E2220" w:rsidRPr="00670E2B" w:rsidRDefault="003E2220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D533C">
              <w:t xml:space="preserve">World market </w:t>
            </w:r>
            <w:proofErr w:type="spellStart"/>
            <w:r w:rsidRPr="008D533C">
              <w:t>and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unequal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exchange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world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trade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the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balance</w:t>
            </w:r>
            <w:proofErr w:type="spellEnd"/>
            <w:r w:rsidRPr="008D533C">
              <w:t xml:space="preserve"> of </w:t>
            </w:r>
            <w:proofErr w:type="spellStart"/>
            <w:r w:rsidRPr="008D533C">
              <w:t>payments</w:t>
            </w:r>
            <w:proofErr w:type="spellEnd"/>
          </w:p>
        </w:tc>
      </w:tr>
      <w:tr w:rsidR="003E2220" w:rsidRPr="001E67EB" w14:paraId="5666D363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3E2220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DC7D9E2" w:rsidR="003E2220" w:rsidRPr="00670E2B" w:rsidRDefault="003E2220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D533C">
              <w:t>Social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product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accounting</w:t>
            </w:r>
            <w:proofErr w:type="spellEnd"/>
            <w:r w:rsidRPr="008D533C">
              <w:t xml:space="preserve"> - </w:t>
            </w:r>
            <w:proofErr w:type="spellStart"/>
            <w:r w:rsidRPr="008D533C">
              <w:t>direct</w:t>
            </w:r>
            <w:proofErr w:type="spellEnd"/>
            <w:r w:rsidRPr="008D533C">
              <w:t xml:space="preserve"> </w:t>
            </w:r>
            <w:proofErr w:type="spellStart"/>
            <w:r w:rsidRPr="008D533C">
              <w:t>investment</w:t>
            </w:r>
            <w:proofErr w:type="spellEnd"/>
          </w:p>
        </w:tc>
      </w:tr>
      <w:tr w:rsidR="003E2220" w:rsidRPr="001E67EB" w14:paraId="3E18AA1C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3E2220" w:rsidRPr="00753B2D" w:rsidRDefault="003E2220" w:rsidP="003E22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3E2220" w:rsidRPr="001E67EB" w14:paraId="5FE5F530" w14:textId="77777777" w:rsidTr="00F63C0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3E2220" w:rsidRPr="00630100" w:rsidRDefault="003E2220" w:rsidP="003E22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E2220" w:rsidRPr="001E67EB" w14:paraId="58202B4C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3E2220" w:rsidRPr="001E67EB" w:rsidRDefault="003E2220" w:rsidP="003E22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627791DE" w:rsidR="003E2220" w:rsidRPr="001E67EB" w:rsidRDefault="00F63C0A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2023DEAC" w:rsidR="003E2220" w:rsidRPr="001E67EB" w:rsidRDefault="00F63C0A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1B222AFA" w:rsidR="003E2220" w:rsidRPr="001E67EB" w:rsidRDefault="00F63C0A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08D77F08" w:rsidR="003E2220" w:rsidRPr="001E67EB" w:rsidRDefault="00F63C0A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4E3110F3" w:rsidR="003E2220" w:rsidRPr="001E67EB" w:rsidRDefault="00F63C0A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4B641936" w:rsidR="003E2220" w:rsidRPr="001E67EB" w:rsidRDefault="00F63C0A" w:rsidP="003E22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5FD06621" w:rsidR="00F63C0A" w:rsidRPr="001E67EB" w:rsidRDefault="00F63C0A" w:rsidP="00F63C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169A7" w:rsidRPr="001E67EB" w14:paraId="056CE351" w14:textId="77777777" w:rsidTr="000E51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00D1A328" w14:textId="5423C61B" w:rsidR="005169A7" w:rsidRPr="005169A7" w:rsidRDefault="005169A7" w:rsidP="003E2220">
            <w:pPr>
              <w:spacing w:line="240" w:lineRule="atLeast"/>
              <w:rPr>
                <w:rFonts w:eastAsia="Times New Roman" w:cstheme="minorHAnsi"/>
                <w:bCs w:val="0"/>
                <w:i/>
                <w:color w:val="000000" w:themeColor="text1"/>
                <w:sz w:val="20"/>
                <w:szCs w:val="20"/>
                <w:lang w:eastAsia="tr-TR"/>
              </w:rPr>
            </w:pPr>
            <w:r w:rsidRPr="005169A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E2220" w:rsidRPr="001E67EB" w14:paraId="3190E2EE" w14:textId="77777777" w:rsidTr="00F63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8245700" w:rsidR="003E2220" w:rsidRPr="001E67EB" w:rsidRDefault="005169A7" w:rsidP="003E22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F63C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3E2220" w:rsidRPr="001E67EB" w14:paraId="1BFDCA91" w14:textId="77777777" w:rsidTr="00F63C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3E2220" w:rsidRPr="001E67EB" w:rsidRDefault="003E2220" w:rsidP="003E22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3FA47AA" w:rsidR="003E2220" w:rsidRPr="001E67EB" w:rsidRDefault="00F63C0A" w:rsidP="003E22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62D3EC62" w14:textId="77777777" w:rsidR="007A6E8A" w:rsidRDefault="007A6E8A" w:rsidP="004574B4"/>
    <w:p w14:paraId="6F3F3C2C" w14:textId="77777777" w:rsidR="00F63C0A" w:rsidRPr="007B4543" w:rsidRDefault="00F63C0A" w:rsidP="004574B4"/>
    <w:sectPr w:rsidR="00F63C0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5C4B" w14:textId="77777777" w:rsidR="00E02795" w:rsidRDefault="00E02795" w:rsidP="003F0441">
      <w:pPr>
        <w:spacing w:after="0" w:line="240" w:lineRule="auto"/>
      </w:pPr>
      <w:r>
        <w:separator/>
      </w:r>
    </w:p>
  </w:endnote>
  <w:endnote w:type="continuationSeparator" w:id="0">
    <w:p w14:paraId="3EBD61C8" w14:textId="77777777" w:rsidR="00E02795" w:rsidRDefault="00E0279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3C29" w14:textId="77777777" w:rsidR="00E02795" w:rsidRDefault="00E02795" w:rsidP="003F0441">
      <w:pPr>
        <w:spacing w:after="0" w:line="240" w:lineRule="auto"/>
      </w:pPr>
      <w:r>
        <w:separator/>
      </w:r>
    </w:p>
  </w:footnote>
  <w:footnote w:type="continuationSeparator" w:id="0">
    <w:p w14:paraId="66920197" w14:textId="77777777" w:rsidR="00E02795" w:rsidRDefault="00E0279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1845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27E3B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2220"/>
    <w:rsid w:val="003E3AFD"/>
    <w:rsid w:val="003E4B30"/>
    <w:rsid w:val="003F0441"/>
    <w:rsid w:val="00405391"/>
    <w:rsid w:val="00413C88"/>
    <w:rsid w:val="00413F91"/>
    <w:rsid w:val="00430382"/>
    <w:rsid w:val="004574B4"/>
    <w:rsid w:val="00460F5C"/>
    <w:rsid w:val="004853DE"/>
    <w:rsid w:val="004B0284"/>
    <w:rsid w:val="004C6080"/>
    <w:rsid w:val="004D2CC4"/>
    <w:rsid w:val="005040D2"/>
    <w:rsid w:val="00507304"/>
    <w:rsid w:val="005169A7"/>
    <w:rsid w:val="00524396"/>
    <w:rsid w:val="0053124C"/>
    <w:rsid w:val="005371D3"/>
    <w:rsid w:val="00595EA5"/>
    <w:rsid w:val="005A65E3"/>
    <w:rsid w:val="005A7EB6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05C30"/>
    <w:rsid w:val="00823137"/>
    <w:rsid w:val="008243C2"/>
    <w:rsid w:val="00834145"/>
    <w:rsid w:val="00840308"/>
    <w:rsid w:val="00863DB2"/>
    <w:rsid w:val="00883493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B43BF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06F2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3475C"/>
    <w:rsid w:val="00D42F4D"/>
    <w:rsid w:val="00D57B37"/>
    <w:rsid w:val="00D873D4"/>
    <w:rsid w:val="00D932F9"/>
    <w:rsid w:val="00DA54F4"/>
    <w:rsid w:val="00DC23C8"/>
    <w:rsid w:val="00DD2B65"/>
    <w:rsid w:val="00DE13FB"/>
    <w:rsid w:val="00E02795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3C0A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2022-05-01T14:28:00Z</dcterms:created>
  <dcterms:modified xsi:type="dcterms:W3CDTF">2022-05-05T04:53:00Z</dcterms:modified>
</cp:coreProperties>
</file>