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1689AF28" w:rsidR="007B4543" w:rsidRPr="001E67EB" w:rsidRDefault="00B709A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>zum</w:t>
            </w:r>
            <w:r w:rsidR="007B4543">
              <w:rPr>
                <w:rFonts w:cstheme="minorHAnsi"/>
                <w:bCs w:val="0"/>
                <w:color w:val="000000"/>
              </w:rPr>
              <w:t xml:space="preserve"> Modul</w:t>
            </w:r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16B0617F" w:rsidR="007B4543" w:rsidRPr="00F359C0" w:rsidRDefault="003C5804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B709A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212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6100D774" w:rsidR="007B4543" w:rsidRPr="00F359C0" w:rsidRDefault="00B709A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72216CF9" w:rsidR="007B4543" w:rsidRPr="00B709A3" w:rsidRDefault="00C36249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67952D89" w:rsidR="007B4543" w:rsidRPr="00F359C0" w:rsidRDefault="00B709A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B709A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Türkisches Politisches Leben</w:t>
            </w:r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35B68387" w:rsidR="007B4543" w:rsidRPr="00F359C0" w:rsidRDefault="003C580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49268E9C" w:rsidR="007B4543" w:rsidRPr="001E67EB" w:rsidRDefault="003C580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6739CBF0" w:rsidR="007B4543" w:rsidRPr="001E67EB" w:rsidRDefault="003C580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1E280090" w:rsidR="007B4543" w:rsidRPr="001E67EB" w:rsidRDefault="003C5804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4298BAF0" w:rsidR="007B4543" w:rsidRPr="001E67EB" w:rsidRDefault="003C580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Der Kurs wird in Vorlesungsform fortgesetzt.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61535EDC" w:rsidR="007B4543" w:rsidRPr="001E67EB" w:rsidRDefault="00B709A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27757D44" w:rsidR="007B4543" w:rsidRPr="003C5804" w:rsidRDefault="007B4543" w:rsidP="003C58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772A0F0C" w:rsidR="007B4543" w:rsidRPr="001E67EB" w:rsidRDefault="00B709A3" w:rsidP="00B709A3">
            <w:pPr>
              <w:pStyle w:val="ListeParagraf"/>
              <w:spacing w:line="240" w:lineRule="atLeast"/>
              <w:ind w:left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Vorlesung dient der Einführung in Politik der modernen Türkei. Man wird sich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nicht nur auf die Zeit der Republik fokussieren, sondern auch die spätosmanischen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Wurzeln der Dynamiken untersuchen, die zur Entwicklung der modernen Türkei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geführt haben. Von den Studierenden wird im Laufe des Kurses erwartet, die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Fähigkeit zu entwickeln, auch deutschsprachige wissenschaftliche Arbeiten zu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diesem Thema sinnvoll zu nutzen.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0295AB93" w14:textId="210F553A" w:rsidR="00B709A3" w:rsidRPr="00B709A3" w:rsidRDefault="00B709A3" w:rsidP="00B709A3">
            <w:pPr>
              <w:spacing w:line="240" w:lineRule="atLeast"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Historischer Überblick der spätosmanischen und türkischen politischen Entwicklungen</w:t>
            </w:r>
          </w:p>
          <w:p w14:paraId="543B92FB" w14:textId="77777777" w:rsidR="00350EF8" w:rsidRDefault="00B709A3" w:rsidP="00331929">
            <w:pPr>
              <w:spacing w:line="240" w:lineRule="atLeast"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nalyse der politischen Akteure seit der Mitte des 19. Jahrhunderts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14:paraId="56FF7FE1" w14:textId="64455E32" w:rsidR="007B4543" w:rsidRPr="00EF7B84" w:rsidRDefault="00B709A3" w:rsidP="00331929">
            <w:pPr>
              <w:spacing w:line="240" w:lineRule="atLeast"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Soziopolitische und soziokulturelle Veränderungen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4A6C552D" w:rsidR="007B4543" w:rsidRPr="001E67EB" w:rsidRDefault="00FC024F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390C8601" w:rsidR="007B4543" w:rsidRPr="001E67EB" w:rsidRDefault="00FC024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31E05108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 w:rsidR="00402342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3D9B2454" w:rsidR="007B4543" w:rsidRPr="001E67EB" w:rsidRDefault="00A5081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5081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 Öğr. Üyesi Suna Güzin Aydemir Decker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07D9900" w:rsidR="007B4543" w:rsidRPr="001E67EB" w:rsidRDefault="00FC024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D635729" w:rsidR="007B4543" w:rsidRPr="001E67EB" w:rsidRDefault="00FC024F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CCE484" w14:textId="77777777" w:rsidR="007B4543" w:rsidRDefault="00B709A3" w:rsidP="00FC024F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Kleine Geschichte der Türkei“ von Klaus Kreiser und Christoph K. Neumann</w:t>
            </w:r>
          </w:p>
          <w:p w14:paraId="25875EE4" w14:textId="04360548" w:rsidR="00B709A3" w:rsidRPr="00AE7943" w:rsidRDefault="00B709A3" w:rsidP="00FC024F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Şükrü Hanioğlus „Atatürk. Visionär einer modernen Türkei.“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40B250BD" w14:textId="2A325BF7" w:rsidR="007B4543" w:rsidRPr="00AE7943" w:rsidRDefault="00063EE6" w:rsidP="00063EE6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03CD7DFD" w:rsidR="007B4543" w:rsidRPr="001E67EB" w:rsidRDefault="00A5081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7D6713B8" w:rsidR="007B4543" w:rsidRPr="001E67EB" w:rsidRDefault="00A5081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766C7E9D" w:rsidR="007B4543" w:rsidRPr="001E67EB" w:rsidRDefault="00A5081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68FECCF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083B4E2" w:rsidR="007B4543" w:rsidRPr="001E67EB" w:rsidRDefault="00063EE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7DA3FC90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50647D15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5EC3EB22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601D4A9A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402342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402342" w:rsidRPr="00762FC7" w:rsidRDefault="00402342" w:rsidP="0040234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2669A8B6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A624CF7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33A7A190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402342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402342" w:rsidRPr="00762FC7" w:rsidRDefault="00402342" w:rsidP="0040234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7E5B1744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7FA9D2B7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42F64CA1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402342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402342" w:rsidRPr="00762FC7" w:rsidRDefault="00402342" w:rsidP="0040234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7DE697BF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56" w:type="dxa"/>
            <w:gridSpan w:val="7"/>
            <w:vAlign w:val="center"/>
          </w:tcPr>
          <w:p w14:paraId="184FF1CB" w14:textId="125883BC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4DFBC373" w14:textId="68C274D3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402342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402342" w:rsidRPr="00762FC7" w:rsidRDefault="00402342" w:rsidP="0040234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07089EF8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0C73B2D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26361833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</w:tr>
      <w:tr w:rsidR="00402342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402342" w:rsidRPr="00762FC7" w:rsidRDefault="00402342" w:rsidP="0040234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4ED4467C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748C160D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7D13A4E1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402342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402342" w:rsidRPr="00762FC7" w:rsidRDefault="00402342" w:rsidP="0040234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02342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402342" w:rsidRPr="00762FC7" w:rsidRDefault="00402342" w:rsidP="0040234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02342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402342" w:rsidRPr="00762FC7" w:rsidRDefault="00402342" w:rsidP="0040234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402342" w:rsidRPr="001E67EB" w:rsidRDefault="00402342" w:rsidP="0040234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02342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402342" w:rsidRPr="001E67EB" w:rsidRDefault="00402342" w:rsidP="0040234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7A8B519A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538EDDF7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5A821F49" w:rsidR="00402342" w:rsidRPr="001E67EB" w:rsidRDefault="00402342" w:rsidP="0040234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16B8640D" w:rsidR="007B4543" w:rsidRPr="008243C2" w:rsidRDefault="00BA0F1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3060666B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r w:rsidR="00880F6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 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3AE30031" w:rsidR="007B4543" w:rsidRPr="008243C2" w:rsidRDefault="00BA0F1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3D4BE004" w:rsidR="007B4543" w:rsidRPr="00670E2B" w:rsidRDefault="00B709A3" w:rsidP="00B709A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Lernen Sie wichtige Ereignisse und historische Prozesse, grundlegende politische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Gedanken und politische Persönlichkeiten im politischen Leben der Türkei kennen</w:t>
            </w:r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02EF2676" w:rsidR="007B4543" w:rsidRPr="00670E2B" w:rsidRDefault="00B709A3" w:rsidP="00B709A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 des historischen Wandels der türkischen Gesellschaft von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Vergangenheit in die Gegenwart und ihres Platzes in der allgemeinen Entwicklung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der Zivilisation</w:t>
            </w:r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556486E6" w:rsidR="007B4543" w:rsidRPr="00670E2B" w:rsidRDefault="00B709A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709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Kontinuitäten und Veränderungen im politischen Leben der Türkei verstehen</w:t>
            </w:r>
          </w:p>
        </w:tc>
      </w:tr>
      <w:tr w:rsidR="007B4543" w:rsidRPr="001E67EB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7B4543" w:rsidRPr="001E67EB" w14:paraId="1509833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07D2B2F6" w:rsidR="007B4543" w:rsidRPr="00670E2B" w:rsidRDefault="00944A5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Einführung, Kursdetails, spätosmanische Modernisierung von 1870ern zum 20. Jahrhundert</w:t>
            </w:r>
          </w:p>
        </w:tc>
      </w:tr>
      <w:tr w:rsidR="007B4543" w:rsidRPr="001E67EB" w14:paraId="12E43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6C754C71" w:rsidR="007B4543" w:rsidRPr="00670E2B" w:rsidRDefault="00944A5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Jahrhundertwende, 1908, Komitee-Jahre, Der erste Weltkrieg</w:t>
            </w:r>
          </w:p>
        </w:tc>
      </w:tr>
      <w:tr w:rsidR="007B4543" w:rsidRPr="001E67EB" w14:paraId="5659795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23FE7D2A" w:rsidR="007B4543" w:rsidRPr="00670E2B" w:rsidRDefault="00944A5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 Ende des Reichs, die Gründung der Republik</w:t>
            </w:r>
          </w:p>
        </w:tc>
      </w:tr>
      <w:tr w:rsidR="007B4543" w:rsidRPr="001E67EB" w14:paraId="74381D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137979D2" w:rsidR="007B4543" w:rsidRPr="00670E2B" w:rsidRDefault="00944A5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Zeitalter der Reformen, ein ideengeschichtlicher Ansatz</w:t>
            </w:r>
          </w:p>
        </w:tc>
      </w:tr>
      <w:tr w:rsidR="007B4543" w:rsidRPr="001E67EB" w14:paraId="30D1A3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7F0BBD4B" w:rsidR="007B4543" w:rsidRPr="00670E2B" w:rsidRDefault="00944A5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Republik unter Atatürk - I (1920er)</w:t>
            </w:r>
          </w:p>
        </w:tc>
      </w:tr>
      <w:tr w:rsidR="007B4543" w:rsidRPr="001E67EB" w14:paraId="228973D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099F68C7" w:rsidR="007B4543" w:rsidRPr="00670E2B" w:rsidRDefault="00944A5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Republik unter Atatürk - II (1930er)</w:t>
            </w:r>
          </w:p>
        </w:tc>
      </w:tr>
      <w:tr w:rsidR="007B4543" w:rsidRPr="001E67EB" w14:paraId="2E0AA05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3C934DE0" w:rsidR="007B4543" w:rsidRPr="00670E2B" w:rsidRDefault="00944A5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İnönü-Jahre (1938-1950)</w:t>
            </w:r>
          </w:p>
        </w:tc>
      </w:tr>
      <w:tr w:rsidR="007B4543" w:rsidRPr="001E67EB" w14:paraId="61B8A7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48F79B33" w:rsidR="007B4543" w:rsidRPr="00670E2B" w:rsidRDefault="00944A5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1950er, Zeitalter der Mehrparteiendemokratie</w:t>
            </w:r>
          </w:p>
        </w:tc>
      </w:tr>
      <w:tr w:rsidR="007B4543" w:rsidRPr="001E67EB" w14:paraId="55D3B6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0A0D3ECD" w:rsidR="007B4543" w:rsidRPr="00670E2B" w:rsidRDefault="00944A5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1960er, Die Ära der neuen Politiker</w:t>
            </w:r>
          </w:p>
        </w:tc>
      </w:tr>
      <w:tr w:rsidR="007B4543" w:rsidRPr="001E67EB" w14:paraId="768039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249815D8" w:rsidR="007B4543" w:rsidRPr="00670E2B" w:rsidRDefault="00944A5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1970er, eine Periode des Konflikts und sozialen Wandels</w:t>
            </w:r>
          </w:p>
        </w:tc>
      </w:tr>
      <w:tr w:rsidR="007B4543" w:rsidRPr="001E67EB" w14:paraId="591D57B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165EACFD" w:rsidR="007B4543" w:rsidRPr="00670E2B" w:rsidRDefault="00944A5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1980er, Neue Parteien, Neue Versuche</w:t>
            </w:r>
          </w:p>
        </w:tc>
      </w:tr>
      <w:tr w:rsidR="007B4543" w:rsidRPr="001E67EB" w14:paraId="322BB4F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7AE02B16" w:rsidR="007B4543" w:rsidRPr="00670E2B" w:rsidRDefault="00944A5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1990er, die Türkei im Umbruch</w:t>
            </w:r>
          </w:p>
        </w:tc>
      </w:tr>
      <w:tr w:rsidR="007B4543" w:rsidRPr="001E67EB" w14:paraId="5D22543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682C3B96" w:rsidR="007B4543" w:rsidRPr="00670E2B" w:rsidRDefault="00944A5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2000er, die Türkei in Zeiten der Globalisierung</w:t>
            </w:r>
          </w:p>
        </w:tc>
      </w:tr>
      <w:tr w:rsidR="007B4543" w:rsidRPr="001E67EB" w14:paraId="7A8A12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7912EA59" w:rsidR="007B4543" w:rsidRPr="00670E2B" w:rsidRDefault="00944A5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Rückblick und Vorblick I: Akteure und Strukturen (Politiker*innen, Politische Parteien, Nichtregierungsakteure)</w:t>
            </w:r>
          </w:p>
        </w:tc>
      </w:tr>
      <w:tr w:rsidR="007B4543" w:rsidRPr="001E67EB" w14:paraId="5666D36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221C2829" w:rsidR="007B4543" w:rsidRPr="00670E2B" w:rsidRDefault="00944A5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4A5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Rückblick und Vorblick II: Akteure und Strukturen (Wirtschaft, Sozialer Wandel, Kulturleben)</w:t>
            </w:r>
          </w:p>
        </w:tc>
      </w:tr>
      <w:tr w:rsidR="007B4543" w:rsidRPr="001E67EB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8F72E9" w:rsidRPr="001E67EB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8F72E9" w:rsidRPr="001E67EB" w:rsidRDefault="008F72E9" w:rsidP="008F72E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474CBC65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02D90E69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179B9A22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65FF1009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64907946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524501F3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1580E77F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8F72E9" w:rsidRPr="001E67EB" w14:paraId="11EE2C4D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8F72E9" w:rsidRPr="001E67EB" w:rsidRDefault="008F72E9" w:rsidP="008F72E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10D48AB8" w:rsidR="008F72E9" w:rsidRPr="001E67EB" w:rsidRDefault="008F72E9" w:rsidP="008F72E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0BB56E62" w:rsidR="008F72E9" w:rsidRPr="001E67EB" w:rsidRDefault="008F72E9" w:rsidP="008F72E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3D1E6641" w:rsidR="008F72E9" w:rsidRPr="001E67EB" w:rsidRDefault="008F72E9" w:rsidP="008F72E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02351C1" w14:textId="53035AAB" w:rsidR="008F72E9" w:rsidRPr="001E67EB" w:rsidRDefault="008F72E9" w:rsidP="008F72E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7C072498" w:rsidR="008F72E9" w:rsidRPr="001E67EB" w:rsidRDefault="008F72E9" w:rsidP="008F72E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4AAD265B" w:rsidR="008F72E9" w:rsidRPr="001E67EB" w:rsidRDefault="008F72E9" w:rsidP="008F72E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34E937B3" w:rsidR="008F72E9" w:rsidRPr="001E67EB" w:rsidRDefault="008F72E9" w:rsidP="008F72E9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8F72E9" w:rsidRPr="001E67EB" w14:paraId="05AB6A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8F72E9" w:rsidRPr="001E67EB" w:rsidRDefault="008F72E9" w:rsidP="008F72E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1C839095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2254FB03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5C474E4F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588F61E" w14:textId="68FC6018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458461CA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0F570ED9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68FB2445" w14:textId="7596FD93" w:rsidR="008F72E9" w:rsidRPr="001E67EB" w:rsidRDefault="008F72E9" w:rsidP="008F72E9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33841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333841" w:rsidRDefault="00333841" w:rsidP="00333841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333841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54A19E2A" w:rsidR="00333841" w:rsidRPr="001E67EB" w:rsidRDefault="00A50814" w:rsidP="00333841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A50814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333841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333841" w:rsidRPr="001E67EB" w:rsidRDefault="00333841" w:rsidP="0033384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02E16838" w:rsidR="00333841" w:rsidRPr="001E67EB" w:rsidRDefault="00063EE6" w:rsidP="0033384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Wis. Mit. </w:t>
            </w:r>
            <w:bookmarkStart w:id="0" w:name="_GoBack"/>
            <w:bookmarkEnd w:id="0"/>
            <w:r w:rsidR="00A5081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Efsane Deniz Baş</w:t>
            </w:r>
          </w:p>
        </w:tc>
      </w:tr>
      <w:tr w:rsidR="00333841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333841" w:rsidRPr="001E67EB" w:rsidRDefault="00333841" w:rsidP="00333841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31574D64" w:rsidR="00333841" w:rsidRPr="001E67EB" w:rsidRDefault="00A50814" w:rsidP="0033384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5AE06" w14:textId="77777777" w:rsidR="007B6D80" w:rsidRDefault="007B6D80" w:rsidP="003F0441">
      <w:pPr>
        <w:spacing w:after="0" w:line="240" w:lineRule="auto"/>
      </w:pPr>
      <w:r>
        <w:separator/>
      </w:r>
    </w:p>
  </w:endnote>
  <w:endnote w:type="continuationSeparator" w:id="0">
    <w:p w14:paraId="52355A7C" w14:textId="77777777" w:rsidR="007B6D80" w:rsidRDefault="007B6D80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7E138" w14:textId="77777777" w:rsidR="007B6D80" w:rsidRDefault="007B6D80" w:rsidP="003F0441">
      <w:pPr>
        <w:spacing w:after="0" w:line="240" w:lineRule="auto"/>
      </w:pPr>
      <w:r>
        <w:separator/>
      </w:r>
    </w:p>
  </w:footnote>
  <w:footnote w:type="continuationSeparator" w:id="0">
    <w:p w14:paraId="027BD196" w14:textId="77777777" w:rsidR="007B6D80" w:rsidRDefault="007B6D80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4EC3E0E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AF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18A30DE0" w14:textId="77777777" w:rsidR="00A92AF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A92AF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63F066C2" w:rsidR="00FA169D" w:rsidRPr="00BE37D6" w:rsidRDefault="00A92AF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1C29B0A9" w:rsidR="003F0441" w:rsidRPr="00FA169D" w:rsidRDefault="00FA169D" w:rsidP="00507304">
    <w:pPr>
      <w:pStyle w:val="stBilgi"/>
      <w:jc w:val="center"/>
    </w:pPr>
    <w:r w:rsidRPr="00BE37D6">
      <w:rPr>
        <w:rFonts w:ascii="Corbel" w:hAnsi="Corbel"/>
        <w:b/>
        <w:bCs/>
        <w:color w:val="000000"/>
      </w:rPr>
      <w:br/>
    </w:r>
    <w:r w:rsidR="00A92AFA" w:rsidRPr="00A92AFA">
      <w:rPr>
        <w:rFonts w:ascii="Corbel" w:hAnsi="Corbel"/>
        <w:b/>
        <w:bCs/>
        <w:color w:val="000000"/>
      </w:rPr>
      <w:t>POL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T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KW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SSENSCHAFT UND INTERNAT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ONALE BEZ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 xml:space="preserve">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63EE6"/>
    <w:rsid w:val="00073ABA"/>
    <w:rsid w:val="00075F2A"/>
    <w:rsid w:val="0007689A"/>
    <w:rsid w:val="0009226F"/>
    <w:rsid w:val="000A5C3E"/>
    <w:rsid w:val="000A764A"/>
    <w:rsid w:val="000B0AAA"/>
    <w:rsid w:val="000B7E51"/>
    <w:rsid w:val="000C05D4"/>
    <w:rsid w:val="000C4E92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31929"/>
    <w:rsid w:val="00333841"/>
    <w:rsid w:val="00344F0D"/>
    <w:rsid w:val="00350EF8"/>
    <w:rsid w:val="00361C10"/>
    <w:rsid w:val="00363170"/>
    <w:rsid w:val="00370813"/>
    <w:rsid w:val="003712F8"/>
    <w:rsid w:val="00374B87"/>
    <w:rsid w:val="00383A06"/>
    <w:rsid w:val="003A4EF3"/>
    <w:rsid w:val="003B6CA9"/>
    <w:rsid w:val="003C5804"/>
    <w:rsid w:val="003E4B30"/>
    <w:rsid w:val="003F0441"/>
    <w:rsid w:val="00402342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739C4"/>
    <w:rsid w:val="00595EA5"/>
    <w:rsid w:val="005A65E3"/>
    <w:rsid w:val="005B3CD9"/>
    <w:rsid w:val="005C1487"/>
    <w:rsid w:val="0060135C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6E65BD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B6D80"/>
    <w:rsid w:val="007F1AFD"/>
    <w:rsid w:val="00823137"/>
    <w:rsid w:val="008243C2"/>
    <w:rsid w:val="00830C4A"/>
    <w:rsid w:val="00834145"/>
    <w:rsid w:val="00840308"/>
    <w:rsid w:val="008407D7"/>
    <w:rsid w:val="00863DB2"/>
    <w:rsid w:val="00880F67"/>
    <w:rsid w:val="00881C88"/>
    <w:rsid w:val="0088754E"/>
    <w:rsid w:val="00892706"/>
    <w:rsid w:val="008B1142"/>
    <w:rsid w:val="008B51A6"/>
    <w:rsid w:val="008D1FED"/>
    <w:rsid w:val="008D7635"/>
    <w:rsid w:val="008F72E9"/>
    <w:rsid w:val="00930185"/>
    <w:rsid w:val="00944A58"/>
    <w:rsid w:val="0094534E"/>
    <w:rsid w:val="009573BA"/>
    <w:rsid w:val="009747AC"/>
    <w:rsid w:val="0099603B"/>
    <w:rsid w:val="009A7E10"/>
    <w:rsid w:val="009C2E33"/>
    <w:rsid w:val="009C390B"/>
    <w:rsid w:val="009D0A4A"/>
    <w:rsid w:val="009D77A6"/>
    <w:rsid w:val="009E44F0"/>
    <w:rsid w:val="009F3C5B"/>
    <w:rsid w:val="00A4731E"/>
    <w:rsid w:val="00A50814"/>
    <w:rsid w:val="00A52030"/>
    <w:rsid w:val="00A747B2"/>
    <w:rsid w:val="00A90C5C"/>
    <w:rsid w:val="00A92AFA"/>
    <w:rsid w:val="00AC529C"/>
    <w:rsid w:val="00AD1B09"/>
    <w:rsid w:val="00AD40D9"/>
    <w:rsid w:val="00AE7943"/>
    <w:rsid w:val="00AF3715"/>
    <w:rsid w:val="00B15FCE"/>
    <w:rsid w:val="00B16E96"/>
    <w:rsid w:val="00B17865"/>
    <w:rsid w:val="00B21C1A"/>
    <w:rsid w:val="00B23142"/>
    <w:rsid w:val="00B31830"/>
    <w:rsid w:val="00B44693"/>
    <w:rsid w:val="00B649FC"/>
    <w:rsid w:val="00B709A3"/>
    <w:rsid w:val="00B7395D"/>
    <w:rsid w:val="00B91F9D"/>
    <w:rsid w:val="00BA0E92"/>
    <w:rsid w:val="00BA0F1C"/>
    <w:rsid w:val="00BA65DD"/>
    <w:rsid w:val="00BD61E0"/>
    <w:rsid w:val="00BF4DDE"/>
    <w:rsid w:val="00C0705D"/>
    <w:rsid w:val="00C143C2"/>
    <w:rsid w:val="00C36249"/>
    <w:rsid w:val="00C40620"/>
    <w:rsid w:val="00C41A3F"/>
    <w:rsid w:val="00C457F2"/>
    <w:rsid w:val="00C53C5B"/>
    <w:rsid w:val="00C83EDD"/>
    <w:rsid w:val="00C8473F"/>
    <w:rsid w:val="00C853DA"/>
    <w:rsid w:val="00C9689D"/>
    <w:rsid w:val="00CB3401"/>
    <w:rsid w:val="00CE5889"/>
    <w:rsid w:val="00D07145"/>
    <w:rsid w:val="00D27C16"/>
    <w:rsid w:val="00D42F4D"/>
    <w:rsid w:val="00D57B37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C024F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cp:lastPrinted>2020-04-08T10:08:00Z</cp:lastPrinted>
  <dcterms:created xsi:type="dcterms:W3CDTF">2022-05-01T14:17:00Z</dcterms:created>
  <dcterms:modified xsi:type="dcterms:W3CDTF">2022-05-05T04:39:00Z</dcterms:modified>
</cp:coreProperties>
</file>