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24</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ind w:left="110" w:firstLine="0"/>
              <w:rPr>
                <w:b w:val="1"/>
                <w:bCs w:val="1"/>
              </w:rPr>
            </w:pPr>
            <w:r w:rsidDel="00000000" w:rsidR="00000000" w:rsidRPr="00000000">
              <w:rPr>
                <w:b w:val="1"/>
                <w:bCs w:val="1"/>
                <w:rtl w:val="0"/>
              </w:rPr>
              <w:t xml:space="preserve">Aktuelle Herausforderungen in der türkischen Außenpolitik</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aktuelle Themen der türkischen Außenpolitik im Kontext regionaler und globaler Entwicklungen zu untersuchen. Die Studierenden sollen befähigt werden, die außenpolitischen Entscheidungsprozesse der Türkei, ihre zentralen Akteure und gegenwärtigen außenpolitischen Prioritäten aus theoretischer und empirischer Perspektive zu analysieren. Darüber hinaus sollen sie die Beziehungen der Türkei zu internationalen Organisationen, regionalen Mächten und globalen Akteuren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sz w:val="20"/>
                <w:szCs w:val="20"/>
              </w:rPr>
            </w:pPr>
            <w:r w:rsidDel="00000000" w:rsidR="00000000" w:rsidRPr="00000000">
              <w:rPr>
                <w:sz w:val="20"/>
                <w:szCs w:val="20"/>
                <w:rtl w:val="0"/>
              </w:rPr>
              <w:t xml:space="preserve">Diese Lehrveranstaltung behandelt die grundlegenden Dynamiken und aktuellen Debatten der türkischen Außenpolitik. Im Rahmen des Kurses werden Ansätze der Außenpolitikanalyse, die Beziehungen der Türkei zu ihren Nachbarstaaten, die Beziehungen zur Europäischen Union, die transatlantischen Beziehungen, die Nahostpolitik sowie die Politik gegenüber dem östlichen Mittelmeerraum, dem Kaukasus, dem Balkan und Zentralasien untersucht. Darüber hinaus werden Energiesicherheit, Migration, Verteidigungspolitik, multilaterale Diplomatie und die Rolle der Türkei im sich wandelnden internationalen System anhand aktueller Entwicklungen analysiert.</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zentralen Akteure, Entscheidungsprozesse und aktuellen Prioritäten der türkischen Außenpolitik anhand theoretischer und empirischer Ansätze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Beziehungen der Türkei zur Europäischen Union, zu Nachbarstaaten, regionalen Mächten und internationalen Organisationen im Lichte aktueller Entwicklungen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aktuelle außenpolitische Themen wie Energiesicherheit, Migration, Verteidigungspolitik und regionale Krisen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28265" cy="4406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f/cZsTPBAaVgYA0n7iinsHqsQ==">CgMxLjA4AHIhMUhqZUJhbEREeDByTjNMXzA2UWNuQndEeXZXaG1Xd2Mx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