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104</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Uluslararası İlişkiler Teorileri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uluslararası ilişkiler disiplininde geliştirilen temel ve çağdaş teorileri derinlemesine inceleyerek öğrencilerin kuramsal analiz yetkinliğini geliştirmektir. Öğrencilerin realizm, liberalizm, konstrüktivizm, eleştirel teori ve postyapısalcı yaklaşımlar gibi farklı teorik perspektifleri karşılaştırmalı olarak değerlendirmeleri ve bu teorileri uluslararası siyasal olaylara uygulayabilmeleri hedeflenmektedir. Ayrıca, öğrencilerin kuramsal tartışmaları eleştirel bir bakış açısıyla analiz ederek özgün akademik argümanlar geliştirme becerisi kazanmaları amaçlanmaktadır. </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uluslararası ilişkiler disiplininde geliştirilen klasik ve çağdaş teorik yaklaşımların derinlemesine incelenmesini içerir. Ders kapsamında realizm, neo-realizm, liberalizm, neo-liberal kurumsalcılık, konstrüktivizm, İngiliz Okulu, eleştirel teori, postyapısalcılık ve feminist yaklaşımlar gibi temel teoriler karşılaştırmalı olarak ele alınır. Ayrıca, bu teorilerin uluslararası sistem, devlet davranışı, güç, güvenlik ve kimlik gibi kavramları nasıl açıkladığı vaka analizleri ve güncel gelişmeler üzerinden tartışılır.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Uluslararası ilişkiler alanındaki klasik ve çağdaş teorileri karşılaştırmalı olarak analiz eder ve bu teorilerin varsayımlarını eleştirel biçimde değerlendirir. </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57" w:line="240"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Farklı teorik yaklaşımları kullanarak uluslararası siyasal olayları, aktör davranışlarını ve küresel dinamikleri açıklayabilir. </w:t>
            </w: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55" w:lineRule="auto"/>
              <w:ind w:left="10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Kuramsal tartışmalar ışığında özgün akademik argümanlar geliştirir ve bu argümanları yazılı ve sözlü olarak bilimsel standartlara uygun biçimde sunar. </w:t>
            </w:r>
            <w:r w:rsidDel="00000000" w:rsidR="00000000" w:rsidRPr="00000000">
              <w:rPr>
                <w:rtl w:val="0"/>
              </w:rPr>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Derse Giriş: Uluslararası İlişkilerde Teori, Metodoloji ve Tartışmalar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Klasik Realizm: Temel Varsayımlar ve Temsilciler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Neo-Realizm (Yapısal Realizm) ve Güç Dengesi Yaklaşımları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ve Neo-Liberal Kurumsalcılık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İngiliz Okulu ve Uluslararası Toplum Yaklaşımı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Konstrüktivizm: Kimlik, Normlar ve Söylem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Teorilerin Karşılaştırmalı Analizi ve Araştırma Tasarımlarına Etkisi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Eleştirel Teori ve Frankfurt Okulu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 Yaklaşımlar ve Söylem Analizi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Feminist Uluslararası İlişkiler Teorileri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Postkolonyal Yaklaşımlar ve Küresel Güney Perspektifi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Güvenlik Çalışmaları ve Yeni Güvenlik Yaklaşımları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Küresel Yönetişim, Ekonomi Politik ve Teorik Yaklaşımlar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Uluslararası Olayların Teorik Analizi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07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4606862</wp:posOffset>
              </wp:positionH>
              <wp:positionV relativeFrom="page">
                <wp:posOffset>310707</wp:posOffset>
              </wp:positionV>
              <wp:extent cx="2533015" cy="34544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33015" cy="34544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L/O2Ob7TsYt95e4gLtqq3zZwQ==">CgMxLjA4AHIhMTJLdkdsYlFpamRDdWM2LXpnY3diX0Q3S0otZEx6Sy1r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