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12</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highlight w:val="white"/>
                <w:rtl w:val="0"/>
              </w:rPr>
              <w:t xml:space="preserve">EU und Völkerrecht</w:t>
            </w:r>
            <w:r w:rsidDel="00000000" w:rsidR="00000000" w:rsidRPr="00000000">
              <w:rPr>
                <w:b w:val="1"/>
                <w:bCs w:val="1"/>
                <w:sz w:val="20"/>
                <w:szCs w:val="20"/>
                <w:rtl w:val="0"/>
              </w:rPr>
              <w:t xml:space="preserve"> </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die Beziehung zwischen dem Recht der Europäischen Union und dem Völkerrecht aus theoretischer und praktischer Perspektive zu untersuchen. Die Studierenden sollen die besondere Rechtsordnung der Europäischen Union, ihre Stellung im internationalen Rechtssystem sowie ihre rechtlichen Beziehungen zu internationalen Akteuren analysieren können. Darüber hinaus sollen sie die Auswirkungen des EU-Rechts auf die Entwicklung des Völkerrechts und aktuelle rechtliche Fragestellungen kritisch bewerten.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Diese Lehrveranstaltung behandelt die Rechtsquellen, Grundprinzipien und die institutionelle Struktur des Rechts der Europäischen Union im Kontext des Völkerrechts. Im Rahmen des Kurses werden der Anwendungsvorrang des EU-Rechts, die unmittelbare Wirkung, die Stellung internationaler Abkommen in der EU-Rechtsordnung, Mechanismen des Menschenrechtsschutzes sowie die Beziehungen der EU zu internationalen Organisationen untersucht. Darüber hinaus wird das Zusammenspiel von EU-Recht und Völkerrecht anhand aktueller Themen wie Handelsrecht, Umweltrecht, Migrationsrecht und internationaler Streitbeilegung analysiert.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1"/>
          </w:tcPr>
          <w:p w:rsidR="00000000" w:rsidDel="00000000" w:rsidP="00000000" w:rsidRDefault="00000000" w:rsidRPr="00000000" w14:paraId="000000B6">
            <w:pPr>
              <w:spacing w:before="64" w:lineRule="auto"/>
              <w:ind w:left="110" w:firstLine="0"/>
              <w:rPr/>
            </w:pPr>
            <w:r w:rsidDel="00000000" w:rsidR="00000000" w:rsidRPr="00000000">
              <w:rPr>
                <w:rtl w:val="0"/>
              </w:rPr>
              <w:t xml:space="preserve">Raif Kanitz</w:t>
            </w: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1"/>
          </w:tcPr>
          <w:p w:rsidR="00000000" w:rsidDel="00000000" w:rsidP="00000000" w:rsidRDefault="00000000" w:rsidRPr="00000000" w14:paraId="000000C3">
            <w:pPr>
              <w:spacing w:before="64" w:lineRule="auto"/>
              <w:ind w:left="110" w:firstLine="0"/>
              <w:rPr/>
            </w:pPr>
            <w:r w:rsidDel="00000000" w:rsidR="00000000" w:rsidRPr="00000000">
              <w:rPr>
                <w:rtl w:val="0"/>
              </w:rPr>
              <w:t xml:space="preserve">Raif Kanitz</w:t>
            </w: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die Grundprinzipien, Rechtsquellen und die institutionelle Struktur des Rechts der Europäischen Union im Kontext des Völkerrechts analysieren.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können das Zusammenspiel zwischen dem Recht der Europäischen Union und dem Völkerrecht sowie die Bedeutung internationaler Abkommen in der EU-Rechtsordnung bewerten.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pPr>
            <w:r w:rsidDel="00000000" w:rsidR="00000000" w:rsidRPr="00000000">
              <w:rPr>
                <w:rtl w:val="0"/>
              </w:rPr>
              <w:t xml:space="preserve">Die Studierenden können die Beziehung zwischen EU-Recht und Völkerrecht in aktuellen Rechtsfragen wie Menschenrechten, Handel, Umweltschutz und Migration kritisch beurteilen.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4587812</wp:posOffset>
              </wp:positionH>
              <wp:positionV relativeFrom="page">
                <wp:posOffset>291657</wp:posOffset>
              </wp:positionV>
              <wp:extent cx="2571115" cy="3835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5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4587812</wp:posOffset>
              </wp:positionH>
              <wp:positionV relativeFrom="page">
                <wp:posOffset>291657</wp:posOffset>
              </wp:positionV>
              <wp:extent cx="2571115" cy="3835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71115" cy="3835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qVGEU8IWlwwLY1urFFuR/tPH3A==">CgMxLjA4AHIhMUE2Mk1BeDJfY0tCMUZONGx1bF83SUI1RGFib2FoZW00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