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68.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80"/>
        <w:gridCol w:w="1636"/>
        <w:gridCol w:w="323"/>
        <w:gridCol w:w="808"/>
        <w:gridCol w:w="1113"/>
        <w:gridCol w:w="299"/>
        <w:gridCol w:w="580"/>
        <w:gridCol w:w="273"/>
        <w:gridCol w:w="310"/>
        <w:gridCol w:w="434"/>
        <w:gridCol w:w="148"/>
        <w:gridCol w:w="635"/>
        <w:gridCol w:w="1129"/>
        <w:tblGridChange w:id="0">
          <w:tblGrid>
            <w:gridCol w:w="2780"/>
            <w:gridCol w:w="1636"/>
            <w:gridCol w:w="323"/>
            <w:gridCol w:w="808"/>
            <w:gridCol w:w="1113"/>
            <w:gridCol w:w="299"/>
            <w:gridCol w:w="580"/>
            <w:gridCol w:w="273"/>
            <w:gridCol w:w="310"/>
            <w:gridCol w:w="434"/>
            <w:gridCol w:w="148"/>
            <w:gridCol w:w="635"/>
            <w:gridCol w:w="112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w:t>
            </w:r>
            <w:r w:rsidDel="00000000" w:rsidR="00000000" w:rsidRPr="00000000">
              <w:rPr>
                <w:sz w:val="20"/>
                <w:szCs w:val="20"/>
                <w:rtl w:val="0"/>
              </w:rPr>
              <w:t xml:space="preserve">2</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 / 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1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1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1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1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bottom w:color="4aacc5" w:space="0" w:sz="24"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International and European Economics</w:t>
            </w:r>
            <w:r w:rsidDel="00000000" w:rsidR="00000000" w:rsidRPr="00000000">
              <w:rPr>
                <w:rtl w:val="0"/>
              </w:rPr>
            </w:r>
          </w:p>
        </w:tc>
        <w:tc>
          <w:tcPr>
            <w:tcBorders>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24"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24"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7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2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1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8"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 Learning</w:t>
            </w:r>
          </w:p>
        </w:tc>
        <w:tc>
          <w:tcPr>
            <w:gridSpan w:val="12"/>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5" w:hRule="atLeast"/>
          <w:tblHeader w:val="0"/>
        </w:trPr>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5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6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1">
            <w:pPr>
              <w:spacing w:before="75" w:lineRule="auto"/>
              <w:ind w:left="8"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30" w:hRule="atLeast"/>
          <w:tblHeader w:val="0"/>
        </w:trPr>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fundamental dynamics of the international economic system and the European Union’s economic integration process from both theoretical and practical perspectives. The course seeks to enable students to analyze the global economy, international trade, monetary policies, and mechanisms of economic governance. Furthermore, it aims to develop students’ ability to critically assess the EU’s economic structure, the process of Economic and Monetary Union, and the EU’s role within the global economic system.</w:t>
            </w:r>
            <w:r w:rsidDel="00000000" w:rsidR="00000000" w:rsidRPr="00000000">
              <w:rPr>
                <w:rtl w:val="0"/>
              </w:rPr>
            </w:r>
          </w:p>
        </w:tc>
      </w:tr>
      <w:tr>
        <w:trPr>
          <w:cantSplit w:val="0"/>
          <w:trHeight w:val="1367"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8">
            <w:pPr>
              <w:spacing w:after="240" w:befor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This course covers the historical development, key actors, and institutions of the international economic system. Topics include theories of international trade, globalization, the international financial system, and the roles of organizations such as the International Monetary Fund, World Bank, and World Trade Organization. In addition, the course examines the European Union’s economic integration process, Economic and Monetary Union, the Eurozone, common economic policies, and the EU’s position within the global economy.</w:t>
            </w:r>
            <w:r w:rsidDel="00000000" w:rsidR="00000000" w:rsidRPr="00000000">
              <w:rPr>
                <w:rtl w:val="0"/>
              </w:rPr>
            </w:r>
          </w:p>
        </w:tc>
      </w:tr>
      <w:tr>
        <w:trPr>
          <w:cantSplit w:val="0"/>
          <w:trHeight w:val="394" w:hRule="atLeast"/>
          <w:tblHeader w:val="0"/>
        </w:trPr>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5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w:t>
            </w:r>
          </w:p>
        </w:tc>
      </w:tr>
      <w:tr>
        <w:trPr>
          <w:cantSplit w:val="0"/>
          <w:trHeight w:val="397" w:hRule="atLeast"/>
          <w:tblHeader w:val="0"/>
        </w:trPr>
        <w:tc>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5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 </w:t>
            </w:r>
          </w:p>
        </w:tc>
      </w:tr>
      <w:tr>
        <w:trPr>
          <w:cantSplit w:val="0"/>
          <w:trHeight w:val="395"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88" w:hRule="atLeast"/>
          <w:tblHeader w:val="0"/>
        </w:trPr>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5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0" w:hRule="atLeast"/>
          <w:tblHeader w:val="0"/>
        </w:trPr>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bottom w:color="000000" w:space="0" w:sz="0" w:val="nil"/>
            </w:tcBorders>
            <w:shd w:fill="4aacc5" w:val="clea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88"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12"/>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8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1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8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12"/>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8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76.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274"/>
        <w:gridCol w:w="2602"/>
        <w:gridCol w:w="2460"/>
        <w:gridCol w:w="2659"/>
        <w:tblGridChange w:id="0">
          <w:tblGrid>
            <w:gridCol w:w="1481"/>
            <w:gridCol w:w="1274"/>
            <w:gridCol w:w="2602"/>
            <w:gridCol w:w="2460"/>
            <w:gridCol w:w="2659"/>
          </w:tblGrid>
        </w:tblGridChange>
      </w:tblGrid>
      <w:tr>
        <w:trPr>
          <w:cantSplit w:val="0"/>
          <w:trHeight w:val="417"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gridSpan w:val="2"/>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gridSpan w:val="2"/>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0" w:hRule="atLeast"/>
          <w:tblHeader w:val="0"/>
        </w:trPr>
        <w:tc>
          <w:tcPr>
            <w:gridSpan w:val="5"/>
            <w:tcBorders>
              <w:bottom w:color="000000" w:space="0" w:sz="0" w:val="nil"/>
            </w:tcBorders>
            <w:shd w:fill="4aacc5"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2" w:hRule="atLeast"/>
          <w:tblHeader w:val="0"/>
        </w:trPr>
        <w:tc>
          <w:tcPr>
            <w:gridSpan w:val="2"/>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3"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gridSpan w:val="2"/>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7C">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7E">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81">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83">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86">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88">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8B">
            <w:pPr>
              <w:spacing w:before="40" w:lineRule="auto"/>
              <w:ind w:left="18" w:right="7" w:firstLine="0"/>
              <w:jc w:val="center"/>
              <w:rPr>
                <w:sz w:val="20"/>
                <w:szCs w:val="20"/>
              </w:rPr>
            </w:pPr>
            <w:r w:rsidDel="00000000" w:rsidR="00000000" w:rsidRPr="00000000">
              <w:rPr>
                <w:sz w:val="20"/>
                <w:szCs w:val="20"/>
                <w:rtl w:val="0"/>
              </w:rPr>
              <w:t xml:space="preserve">Required</w:t>
            </w:r>
          </w:p>
        </w:tc>
        <w:tc>
          <w:tcPr/>
          <w:p w:rsidR="00000000" w:rsidDel="00000000" w:rsidP="00000000" w:rsidRDefault="00000000" w:rsidRPr="00000000" w14:paraId="0000018D">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9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2">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9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7">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9A">
            <w:pPr>
              <w:spacing w:before="42" w:lineRule="auto"/>
              <w:ind w:left="18" w:right="4"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C">
            <w:pPr>
              <w:spacing w:before="42" w:lineRule="auto"/>
              <w:ind w:left="20" w:right="4" w:firstLine="0"/>
              <w:jc w:val="center"/>
              <w:rPr>
                <w:sz w:val="20"/>
                <w:szCs w:val="20"/>
              </w:rPr>
            </w:pPr>
            <w:r w:rsidDel="00000000" w:rsidR="00000000" w:rsidRPr="00000000">
              <w:rPr>
                <w:sz w:val="20"/>
                <w:szCs w:val="20"/>
                <w:rtl w:val="0"/>
              </w:rPr>
              <w:t xml:space="preserve">60</w:t>
            </w:r>
          </w:p>
        </w:tc>
      </w:tr>
      <w:tr>
        <w:trPr>
          <w:cantSplit w:val="0"/>
          <w:trHeight w:val="330" w:hRule="atLeast"/>
          <w:tblHeader w:val="0"/>
        </w:trPr>
        <w:tc>
          <w:tcPr>
            <w:gridSpan w:val="4"/>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0" w:right="92"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3"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65"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2" w:hRule="atLeast"/>
          <w:tblHeader w:val="0"/>
        </w:trPr>
        <w:tc>
          <w:tcPr>
            <w:gridSpan w:val="2"/>
            <w:shd w:fill="b6dde8" w:val="clear"/>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1"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gridSpan w:val="2"/>
            <w:tcBorders>
              <w:bottom w:color="4aacc5" w:space="0" w:sz="8" w:val="single"/>
            </w:tcBorders>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AE">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AF">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B0">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1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B5">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B8">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1BA">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8"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BE">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C0">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C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C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C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C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A">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C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F">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D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4">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D7">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D8">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D9">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4"/>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2"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3"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388" w:hRule="atLeast"/>
          <w:tblHeader w:val="0"/>
        </w:trPr>
        <w:tc>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be able to analyze the institutional structure, functioning mechanisms and decision-making processes of the European Union.</w:t>
            </w: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be able to evaluate the European Union's foreign policy approach within the framework of international relations theories.</w:t>
            </w:r>
            <w:r w:rsidDel="00000000" w:rsidR="00000000" w:rsidRPr="00000000">
              <w:rPr>
                <w:rtl w:val="0"/>
              </w:rPr>
            </w:r>
          </w:p>
        </w:tc>
      </w:tr>
    </w:tbl>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286"/>
        <w:gridCol w:w="1284"/>
        <w:gridCol w:w="1283"/>
        <w:gridCol w:w="1283"/>
        <w:gridCol w:w="1280"/>
        <w:gridCol w:w="1283"/>
        <w:gridCol w:w="1290"/>
        <w:tblGridChange w:id="0">
          <w:tblGrid>
            <w:gridCol w:w="1481"/>
            <w:gridCol w:w="1286"/>
            <w:gridCol w:w="1284"/>
            <w:gridCol w:w="1283"/>
            <w:gridCol w:w="1283"/>
            <w:gridCol w:w="1280"/>
            <w:gridCol w:w="1283"/>
            <w:gridCol w:w="1290"/>
          </w:tblGrid>
        </w:tblGridChange>
      </w:tblGrid>
      <w:tr>
        <w:trPr>
          <w:cantSplit w:val="0"/>
          <w:trHeight w:val="395" w:hRule="atLeast"/>
          <w:tblHeader w:val="0"/>
        </w:trPr>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Students will analyze the main directions of the development of the EU Political System.</w:t>
            </w:r>
            <w:r w:rsidDel="00000000" w:rsidR="00000000" w:rsidRPr="00000000">
              <w:rPr>
                <w:rtl w:val="0"/>
              </w:rPr>
            </w:r>
          </w:p>
        </w:tc>
      </w:tr>
      <w:tr>
        <w:trPr>
          <w:cantSplit w:val="0"/>
          <w:trHeight w:val="414" w:hRule="atLeast"/>
          <w:tblHeader w:val="0"/>
        </w:trPr>
        <w:tc>
          <w:tcPr>
            <w:gridSpan w:val="8"/>
            <w:tcBorders>
              <w:top w:color="4aacc5" w:space="0" w:sz="8" w:val="single"/>
            </w:tcBorders>
            <w:shd w:fill="4aacc5" w:val="clear"/>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88" w:hRule="atLeast"/>
          <w:tblHeader w:val="0"/>
        </w:trPr>
        <w:tc>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Introduction: The EU System in an overview</w:t>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Conceptualising the Architecture of the EU: The TEDO – Scheme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 in an ever-changing World: Indicators of Relevance</w:t>
            </w:r>
          </w:p>
        </w:tc>
      </w:tr>
      <w:tr>
        <w:trPr>
          <w:cantSplit w:val="0"/>
          <w:trHeight w:val="488" w:hRule="atLeast"/>
          <w:tblHeader w:val="0"/>
        </w:trPr>
        <w:tc>
          <w:tcPr>
            <w:tcBorders>
              <w:top w:color="4aacc5" w:space="0" w:sz="8" w:val="single"/>
              <w:bottom w:color="4aacc5" w:space="0" w:sz="8" w:val="single"/>
            </w:tcBorders>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48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Changing theoretical perspectives: Between Intergovernmentalism and Supranationalism</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European Parliament</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European Council</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Presentations Week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Week</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President of the European Council</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Council of the European Union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European Commission: Shifting Assessments</w:t>
            </w:r>
          </w:p>
        </w:tc>
      </w:tr>
      <w:tr>
        <w:trPr>
          <w:cantSplit w:val="0"/>
          <w:trHeight w:val="488" w:hRule="atLeast"/>
          <w:tblHeader w:val="0"/>
        </w:trPr>
        <w:tc>
          <w:tcPr>
            <w:tcBorders>
              <w:top w:color="4aacc5" w:space="0" w:sz="8" w:val="single"/>
              <w:bottom w:color="4aacc5" w:space="0" w:sz="8" w:val="single"/>
            </w:tcBorders>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48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High Representative of the Union for Foreign Affairs and Security Policy and the European External Service</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Court of Justice of the European Union</w:t>
            </w:r>
          </w:p>
        </w:tc>
      </w:tr>
      <w:tr>
        <w:trPr>
          <w:cantSplit w:val="0"/>
          <w:trHeight w:val="398" w:hRule="atLeast"/>
          <w:tblHeader w:val="0"/>
        </w:trPr>
        <w:tc>
          <w:tcPr>
            <w:tcBorders>
              <w:top w:color="4aacc5" w:space="0" w:sz="8" w:val="single"/>
              <w:bottom w:color="4aacc5" w:space="0" w:sz="8" w:val="single"/>
            </w:tcBorders>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System Making: Balancing deepening and widening I</w:t>
            </w:r>
          </w:p>
        </w:tc>
      </w:tr>
      <w:tr>
        <w:trPr>
          <w:cantSplit w:val="0"/>
          <w:trHeight w:val="398" w:hRule="atLeast"/>
          <w:tblHeader w:val="0"/>
        </w:trPr>
        <w:tc>
          <w:tcPr>
            <w:tcBorders>
              <w:top w:color="4aacc5" w:space="0" w:sz="8" w:val="single"/>
              <w:bottom w:color="4aacc5" w:space="0" w:sz="8" w:val="single"/>
            </w:tcBorders>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15</w:t>
            </w:r>
            <w:r w:rsidDel="00000000" w:rsidR="00000000" w:rsidRPr="00000000">
              <w:rPr>
                <w:rtl w:val="0"/>
              </w:rPr>
            </w:r>
          </w:p>
        </w:tc>
        <w:tc>
          <w:tcPr>
            <w:gridSpan w:val="7"/>
            <w:tcBorders>
              <w:top w:color="4aacc5" w:space="0" w:sz="8" w:val="single"/>
              <w:bottom w:color="4aacc5" w:space="0" w:sz="8" w:val="single"/>
            </w:tcBorders>
          </w:tcPr>
          <w:p w:rsidR="00000000" w:rsidDel="00000000" w:rsidP="00000000" w:rsidRDefault="00000000" w:rsidRPr="00000000" w14:paraId="00000276">
            <w:pPr>
              <w:spacing w:before="78"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System Making: Balancing deepening and widening II</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 Week</w:t>
            </w:r>
          </w:p>
        </w:tc>
      </w:tr>
      <w:tr>
        <w:trPr>
          <w:cantSplit w:val="0"/>
          <w:trHeight w:val="414"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r>
        <w:trPr>
          <w:cantSplit w:val="0"/>
          <w:trHeight w:val="275" w:hRule="atLeast"/>
          <w:tblHeader w:val="0"/>
        </w:trPr>
        <w:tc>
          <w:tcPr>
            <w:shd w:fill="b6dde8" w:val="clea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6">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7">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8">
            <w:pPr>
              <w:spacing w:before="21" w:line="242" w:lineRule="auto"/>
              <w:ind w:left="18" w:right="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9">
            <w:pPr>
              <w:spacing w:before="21" w:line="242" w:lineRule="auto"/>
              <w:ind w:left="9" w:firstLine="0"/>
              <w:jc w:val="center"/>
              <w:rPr>
                <w:sz w:val="20"/>
                <w:szCs w:val="20"/>
              </w:rPr>
            </w:pPr>
            <w:r w:rsidDel="00000000" w:rsidR="00000000" w:rsidRPr="00000000">
              <w:rPr>
                <w:sz w:val="20"/>
                <w:szCs w:val="20"/>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A">
            <w:pPr>
              <w:spacing w:before="21" w:line="242" w:lineRule="auto"/>
              <w:ind w:left="1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B">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C">
            <w:pPr>
              <w:spacing w:before="21"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9E">
            <w:pPr>
              <w:spacing w:before="20" w:line="242"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9F">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0">
            <w:pPr>
              <w:spacing w:before="20" w:line="242" w:lineRule="auto"/>
              <w:ind w:left="18" w:right="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1">
            <w:pPr>
              <w:spacing w:before="20" w:line="242" w:lineRule="auto"/>
              <w:ind w:left="9"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2">
            <w:pPr>
              <w:spacing w:before="20" w:line="242" w:lineRule="auto"/>
              <w:ind w:left="1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3">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4">
            <w:pPr>
              <w:spacing w:before="20"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6">
            <w:pPr>
              <w:spacing w:before="20"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7">
            <w:pPr>
              <w:spacing w:before="20" w:lineRule="auto"/>
              <w:ind w:left="18" w:firstLine="0"/>
              <w:jc w:val="center"/>
              <w:rPr>
                <w:sz w:val="20"/>
                <w:szCs w:val="20"/>
              </w:rPr>
            </w:pPr>
            <w:r w:rsidDel="00000000" w:rsidR="00000000" w:rsidRPr="00000000">
              <w:rPr>
                <w:sz w:val="20"/>
                <w:szCs w:val="20"/>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8">
            <w:pPr>
              <w:spacing w:before="20" w:lineRule="auto"/>
              <w:ind w:left="18" w:right="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9">
            <w:pPr>
              <w:spacing w:before="20" w:lineRule="auto"/>
              <w:ind w:left="9"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A">
            <w:pPr>
              <w:spacing w:before="20" w:lineRule="auto"/>
              <w:ind w:left="1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B">
            <w:pPr>
              <w:spacing w:before="20"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C">
            <w:pPr>
              <w:spacing w:before="20" w:lineRule="auto"/>
              <w:ind w:left="19" w:firstLine="0"/>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left w:color="4aacc5" w:space="0" w:sz="6" w:val="single"/>
              <w:bottom w:color="4aacc5" w:space="0" w:sz="6" w:val="single"/>
              <w:right w:color="4aacc5" w:space="0" w:sz="6" w:val="single"/>
            </w:tcBorders>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5" w:hRule="atLeast"/>
          <w:tblHeader w:val="0"/>
        </w:trPr>
        <w:tc>
          <w:tcPr>
            <w:gridSpan w:val="9"/>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7" w:hRule="atLeast"/>
          <w:tblHeader w:val="0"/>
        </w:trPr>
        <w:tc>
          <w:tcPr>
            <w:gridSpan w:val="2"/>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8" w:hRule="atLeast"/>
          <w:tblHeader w:val="0"/>
        </w:trPr>
        <w:tc>
          <w:tcPr>
            <w:gridSpan w:val="2"/>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23490" cy="3359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WNNyGsJz9w14QsSfiBdeRJXWA==">CgMxLjA4AHIhMXlHb0tqY0pFNkxQQ25NaXNRb0ZKaDctWV9HTjJsbVU5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2025-05-02T00:00:00Z</vt:lpwstr>
  </property>
  <property fmtid="{D5CDD505-2E9C-101B-9397-08002B2CF9AE}" pid="5" name="Producer">
    <vt:lpwstr>Microsoft® Word Microsoft 365 için</vt:lpwstr>
  </property>
</Properties>
</file>