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202</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Uzmanlık Alan Dersi II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3</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spacing w:before="78" w:lineRule="auto"/>
              <w:ind w:right="5"/>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öğrencilerin yüksek lisans sürecinde edindikleri kuramsal ve metodolojik bilgileri kullanarak bağımsız bir bilimsel araştırma yürütmelerini sağlamaktır. Öğrencilerin, belirledikleri araştırma problemi doğrultusunda uygun yöntem ve teknikleri kullanarak özgün bir akademik çalışma üretmeleri hedeflenmektedir. Ayrıca, bilimsel etik ilkelerine uygun biçimde araştırma yapma, analiz etme ve akademik yazım becerilerini geliştirmeleri amaçlanmaktadır. </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öğrencilerin belirledikleri araştırma konusu doğrultusunda bilimsel bir yüksek lisans tezi hazırlama sürecini içerir. Ders kapsamında araştırma probleminin geliştirilmesi, literatür taraması, yöntem seçimi, veri toplama ve analiz süreçleri ile akademik yazım teknikleri ele alınır. Ayrıca, öğrencilerin tez çalışmalarını bilimsel etik ilkelerine uygun biçimde yürütmeleri ve danışman gözetiminde düzenli akademik sunumlar gerçekleştirmeleri beklenmektedir. </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Tez Danışmanı</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Tez Danışmanı</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%100</w:t>
            </w: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6">
            <w:pPr>
              <w:spacing w:before="49" w:lineRule="auto"/>
              <w:ind w:left="66" w:firstLine="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77">
            <w:pPr>
              <w:spacing w:before="49" w:lineRule="auto"/>
              <w:ind w:left="75" w:right="9" w:firstLine="0"/>
              <w:jc w:val="center"/>
              <w:rPr>
                <w:sz w:val="20"/>
                <w:szCs w:val="20"/>
              </w:rPr>
            </w:pPr>
            <w:r w:rsidDel="00000000" w:rsidR="00000000" w:rsidRPr="00000000">
              <w:rPr>
                <w:sz w:val="20"/>
                <w:szCs w:val="20"/>
                <w:rtl w:val="0"/>
              </w:rPr>
              <w:t xml:space="preserve">42</w:t>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spacing w:before="49" w:lineRule="auto"/>
              <w:ind w:left="20" w:firstLine="0"/>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17A">
            <w:pPr>
              <w:spacing w:before="49" w:lineRule="auto"/>
              <w:ind w:left="66" w:firstLine="0"/>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7B">
            <w:pPr>
              <w:spacing w:before="49" w:lineRule="auto"/>
              <w:ind w:left="75" w:right="9" w:firstLine="0"/>
              <w:jc w:val="center"/>
              <w:rPr>
                <w:sz w:val="20"/>
                <w:szCs w:val="20"/>
              </w:rPr>
            </w:pPr>
            <w:r w:rsidDel="00000000" w:rsidR="00000000" w:rsidRPr="00000000">
              <w:rPr>
                <w:sz w:val="20"/>
                <w:szCs w:val="20"/>
                <w:rtl w:val="0"/>
              </w:rPr>
              <w:t xml:space="preserve">120</w:t>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w:t>
            </w:r>
            <w:r w:rsidDel="00000000" w:rsidR="00000000" w:rsidRPr="00000000">
              <w:rPr>
                <w:rtl w:val="0"/>
              </w:rPr>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belirli bir araştırma problemi doğrultusunda bağımsız ve özgün bir bilimsel çalışma tasarlayabilir ve yürütebilir.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Öğrenci, uygun araştırma yöntem ve tekniklerini kullanarak veri toplama, analiz etme ve yorumlama becerisi kazanır.</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Öğrenci, akademik etik ilkelerine uygun biçimde bilimsel bir tez yazabilir ve araştırma bulgularını akademik standartlara uygun şekilde sunabilir.</w:t>
            </w:r>
            <w:r w:rsidDel="00000000" w:rsidR="00000000" w:rsidRPr="00000000">
              <w:rPr>
                <w:rtl w:val="0"/>
              </w:rPr>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Dersin Tanıtımı ve Tez Sürecine Giriş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Konusunun Belirlenmesi ve Problem Tanımı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Literatür Taraması ve Kaynak Yönetimi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Kuramsal Çerçeve ve Araştırma Sorularının Oluşturulması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Yönteminin Belirlenmesi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Toplama Teknikleri ve Etik İlkeler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Tasarımının Geliştirilmesi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Tez Önerisi Sunumları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Toplama Sürecinin Değerlendirilmesi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Analizi Teknikleri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Bulguların Yorumlanması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Akademik Yazım Teknikleri ve Bölüm Oluşturma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Taslak Tez Metni Üzerine Geri Bildirimler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Tez Yazım Sürecinin Geliştirilmesi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Nihai Sunum Hazırlıkları ve Genel Değerlendirme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Tez Çalışmalarının Sunumu ve Dönem Sonu Değerlendirmesi </w:t>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1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52065" cy="3644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JG64eouG9j9K14mMn0ogi7bNw==">CgMxLjA4AHIhMWsyaWUwdTFhTkVlc0t1TVZrdnZraE5oXzVMUDNTbUw2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