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AVU110</w:t>
            </w:r>
          </w:p>
        </w:tc>
        <w:tc>
          <w:tcPr>
            <w:gridSpan w:val="5"/>
            <w:tcBorders>
              <w:bottom w:color="4aacc5" w:space="0" w:sz="8"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Title</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Die lebendige Praxis: EU@ Work (Intensivseminar und Exkursion)</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Angelegenheiten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widowControl w:val="1"/>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0"/>
                <w:szCs w:val="20"/>
                <w:rtl w:val="0"/>
              </w:rPr>
              <w:t xml:space="preserve">Präsenzvorlesung</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7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B">
            <w:pPr>
              <w:spacing w:after="240" w:before="240" w:line="223" w:lineRule="auto"/>
              <w:rPr>
                <w:sz w:val="20"/>
                <w:szCs w:val="20"/>
              </w:rPr>
            </w:pPr>
            <w:r w:rsidDel="00000000" w:rsidR="00000000" w:rsidRPr="00000000">
              <w:rPr>
                <w:sz w:val="20"/>
                <w:szCs w:val="20"/>
                <w:rtl w:val="0"/>
              </w:rPr>
              <w:t xml:space="preserve">Ziel dieses Kurses ist es, den Studierenden anhand praktischer und aktueller Beispiele die institutionelle Struktur, die Entscheidungsmechanismen und die politischen Entscheidungsprozesse der Europäischen Union näherzubringen. Die Studierenden sollen nicht nur auf theoretischer Ebene, sondern auch anhand praktischer Anwendungen verstehen lernen, wie die EU funktioniert. Auf diese Weise werden sie in die Lage versetzt, die Interaktionen zwischen den EU-Institutionen und deren Rolle im politischen Entscheidungsprozess kritisch zu bewerten.</w:t>
            </w:r>
            <w:r w:rsidDel="00000000" w:rsidR="00000000" w:rsidRPr="00000000">
              <w:rPr>
                <w:rtl w:val="0"/>
              </w:rPr>
            </w:r>
          </w:p>
        </w:tc>
      </w:tr>
      <w:tr>
        <w:trPr>
          <w:cantSplit w:val="0"/>
          <w:trHeight w:val="1463"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A">
            <w:pPr>
              <w:spacing w:after="240" w:before="240" w:line="221" w:lineRule="auto"/>
              <w:rPr>
                <w:sz w:val="20"/>
                <w:szCs w:val="20"/>
              </w:rPr>
            </w:pPr>
            <w:r w:rsidDel="00000000" w:rsidR="00000000" w:rsidRPr="00000000">
              <w:rPr>
                <w:sz w:val="20"/>
                <w:szCs w:val="20"/>
                <w:rtl w:val="0"/>
              </w:rPr>
              <w:t xml:space="preserve">Dieser Kurs behandelt die Struktur, Funktionen und Wechselbeziehungen der grundlegenden Institutionen der Europäischen Union. Der Kurs untersucht die Entscheidungsprozesse, Interaktionsformen und Praktiken der Umsetzung des EU-Rechts in Institutionen wie der Kommission, dem Europäischen Parlament, dem Rat und dem Europäischen Gerichtshof. Darüber hinaus haben die Studierenden die Möglichkeit, die Funktionsweise der EU anhand von Fallstudien zu aktuellen Politikbereichen anhand konkreter Beispiele zu bewerten.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5"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7"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bottom w:color="000000" w:space="0" w:sz="0" w:val="nil"/>
            </w:tcBorders>
            <w:shd w:fill="4aacc5"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Lernmaterialien</w:t>
            </w:r>
          </w:p>
        </w:tc>
      </w:tr>
      <w:tr>
        <w:trPr>
          <w:cantSplit w:val="0"/>
          <w:trHeight w:val="390"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Dokumente</w:t>
            </w:r>
          </w:p>
        </w:tc>
        <w:tc>
          <w:tcPr>
            <w:gridSpan w:val="12"/>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12"/>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37">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88"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6A">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spacing w:before="49" w:lineRule="auto"/>
              <w:ind w:left="66" w:right="6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6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72">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7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76">
            <w:pPr>
              <w:spacing w:before="49" w:lineRule="auto"/>
              <w:ind w:left="19" w:firstLine="0"/>
              <w:jc w:val="center"/>
              <w:rPr>
                <w:sz w:val="20"/>
                <w:szCs w:val="20"/>
              </w:rPr>
            </w:pPr>
            <w:r w:rsidDel="00000000" w:rsidR="00000000" w:rsidRPr="00000000">
              <w:rPr>
                <w:sz w:val="20"/>
                <w:szCs w:val="20"/>
                <w:rtl w:val="0"/>
              </w:rPr>
              <w:t xml:space="preserve">obligatorisch</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8">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7A">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7C">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7E">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80">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82">
            <w:pPr>
              <w:spacing w:before="49" w:lineRule="auto"/>
              <w:ind w:left="19"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84">
            <w:pPr>
              <w:spacing w:before="49" w:lineRule="auto"/>
              <w:ind w:left="23" w:firstLine="0"/>
              <w:jc w:val="center"/>
              <w:rPr>
                <w:sz w:val="20"/>
                <w:szCs w:val="20"/>
              </w:rPr>
            </w:pPr>
            <w:r w:rsidDel="00000000" w:rsidR="00000000" w:rsidRPr="00000000">
              <w:rPr>
                <w:sz w:val="20"/>
                <w:szCs w:val="20"/>
                <w:rtl w:val="0"/>
              </w:rPr>
              <w:t xml:space="preserve">60</w:t>
            </w:r>
            <w:r w:rsidDel="00000000" w:rsidR="00000000" w:rsidRPr="00000000">
              <w:rPr>
                <w:rtl w:val="0"/>
              </w:rPr>
            </w:r>
          </w:p>
        </w:tc>
      </w:tr>
      <w:tr>
        <w:trPr>
          <w:cantSplit w:val="0"/>
          <w:trHeight w:val="333" w:hRule="atLeast"/>
          <w:tblHeader w:val="0"/>
        </w:trPr>
        <w:tc>
          <w:tcPr>
            <w:gridSpan w:val="3"/>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Leistungspunkte und Arbeitsaufwand</w:t>
            </w:r>
          </w:p>
        </w:tc>
      </w:tr>
      <w:tr>
        <w:trPr>
          <w:cantSplit w:val="0"/>
          <w:trHeight w:val="330" w:hRule="atLeast"/>
          <w:tblHeader w:val="0"/>
        </w:trPr>
        <w:tc>
          <w:tcPr>
            <w:shd w:fill="b6dde8"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1"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0"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 w:right="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92">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9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9A">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9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8" w:hRule="atLeast"/>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9F">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A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A7">
            <w:pPr>
              <w:rPr>
                <w:sz w:val="20"/>
                <w:szCs w:val="20"/>
              </w:rPr>
            </w:pPr>
            <w:r w:rsidDel="00000000" w:rsidR="00000000" w:rsidRPr="00000000">
              <w:rPr>
                <w:rtl w:val="0"/>
              </w:rPr>
            </w:r>
          </w:p>
        </w:tc>
        <w:tc>
          <w:tcPr/>
          <w:p w:rsidR="00000000" w:rsidDel="00000000" w:rsidP="00000000" w:rsidRDefault="00000000" w:rsidRPr="00000000" w14:paraId="000001A8">
            <w:pPr>
              <w:rPr>
                <w:sz w:val="20"/>
                <w:szCs w:val="20"/>
              </w:rPr>
            </w:pPr>
            <w:r w:rsidDel="00000000" w:rsidR="00000000" w:rsidRPr="00000000">
              <w:rPr>
                <w:rtl w:val="0"/>
              </w:rPr>
            </w:r>
          </w:p>
        </w:tc>
        <w:tc>
          <w:tcPr/>
          <w:p w:rsidR="00000000" w:rsidDel="00000000" w:rsidP="00000000" w:rsidRDefault="00000000" w:rsidRPr="00000000" w14:paraId="000001A9">
            <w:pPr>
              <w:rPr>
                <w:sz w:val="20"/>
                <w:szCs w:val="20"/>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AB">
            <w:pPr>
              <w:rPr>
                <w:sz w:val="20"/>
                <w:szCs w:val="20"/>
              </w:rPr>
            </w:pPr>
            <w:r w:rsidDel="00000000" w:rsidR="00000000" w:rsidRPr="00000000">
              <w:rPr>
                <w:rtl w:val="0"/>
              </w:rPr>
            </w:r>
          </w:p>
        </w:tc>
        <w:tc>
          <w:tcPr/>
          <w:p w:rsidR="00000000" w:rsidDel="00000000" w:rsidP="00000000" w:rsidRDefault="00000000" w:rsidRPr="00000000" w14:paraId="000001AC">
            <w:pPr>
              <w:rPr>
                <w:sz w:val="20"/>
                <w:szCs w:val="20"/>
              </w:rPr>
            </w:pPr>
            <w:r w:rsidDel="00000000" w:rsidR="00000000" w:rsidRPr="00000000">
              <w:rPr>
                <w:rtl w:val="0"/>
              </w:rPr>
            </w:r>
          </w:p>
        </w:tc>
        <w:tc>
          <w:tcPr/>
          <w:p w:rsidR="00000000" w:rsidDel="00000000" w:rsidP="00000000" w:rsidRDefault="00000000" w:rsidRPr="00000000" w14:paraId="000001A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AF">
            <w:pPr>
              <w:rPr>
                <w:sz w:val="20"/>
                <w:szCs w:val="20"/>
              </w:rPr>
            </w:pPr>
            <w:r w:rsidDel="00000000" w:rsidR="00000000" w:rsidRPr="00000000">
              <w:rPr>
                <w:rtl w:val="0"/>
              </w:rPr>
            </w:r>
          </w:p>
        </w:tc>
        <w:tc>
          <w:tcPr/>
          <w:p w:rsidR="00000000" w:rsidDel="00000000" w:rsidP="00000000" w:rsidRDefault="00000000" w:rsidRPr="00000000" w14:paraId="000001B0">
            <w:pPr>
              <w:rPr>
                <w:sz w:val="20"/>
                <w:szCs w:val="20"/>
              </w:rPr>
            </w:pPr>
            <w:r w:rsidDel="00000000" w:rsidR="00000000" w:rsidRPr="00000000">
              <w:rPr>
                <w:rtl w:val="0"/>
              </w:rPr>
            </w:r>
          </w:p>
        </w:tc>
        <w:tc>
          <w:tcPr/>
          <w:p w:rsidR="00000000" w:rsidDel="00000000" w:rsidP="00000000" w:rsidRDefault="00000000" w:rsidRPr="00000000" w14:paraId="000001B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B3">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B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B5">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9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0" w:hRule="atLeast"/>
          <w:tblHeader w:val="0"/>
        </w:trPr>
        <w:tc>
          <w:tcPr>
            <w:gridSpan w:val="3"/>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rHeight w:val="41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Lernergebnisse</w:t>
            </w:r>
          </w:p>
        </w:tc>
      </w:tr>
    </w:tbl>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C4">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3"/>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536" w:hRule="atLeast"/>
          <w:tblHeader w:val="0"/>
        </w:trPr>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C6">
            <w:pPr>
              <w:spacing w:after="240" w:before="240" w:line="249" w:lineRule="auto"/>
              <w:rPr/>
            </w:pPr>
            <w:r w:rsidDel="00000000" w:rsidR="00000000" w:rsidRPr="00000000">
              <w:rPr>
                <w:rtl w:val="0"/>
              </w:rPr>
              <w:t xml:space="preserve">Die Studierenden können die Aufgaben der wichtigsten Institutionen der Europäischen Union und deren Beziehungen untereinander erklären.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CE">
            <w:pPr>
              <w:spacing w:after="240" w:before="240" w:line="249"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Die Studierenden können die Entscheidungsprozesse der EU und die Rollen der verschiedenen Akteure in diesen Prozessen analysieren.</w:t>
            </w:r>
            <w:r w:rsidDel="00000000" w:rsidR="00000000" w:rsidRPr="00000000">
              <w:rPr>
                <w:rtl w:val="0"/>
              </w:rPr>
            </w:r>
          </w:p>
        </w:tc>
      </w:tr>
      <w:tr>
        <w:trPr>
          <w:cantSplit w:val="0"/>
          <w:trHeight w:val="486" w:hRule="atLeast"/>
          <w:tblHeader w:val="0"/>
        </w:trPr>
        <w:tc>
          <w:tcPr>
            <w:tcBorders>
              <w:bottom w:color="4aacc5" w:space="0" w:sz="8"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D6">
            <w:pPr>
              <w:spacing w:after="240" w:before="240" w:line="249" w:lineRule="auto"/>
              <w:rPr>
                <w:sz w:val="20"/>
                <w:szCs w:val="20"/>
              </w:rPr>
            </w:pPr>
            <w:r w:rsidDel="00000000" w:rsidR="00000000" w:rsidRPr="00000000">
              <w:rPr>
                <w:rtl w:val="0"/>
              </w:rPr>
              <w:t xml:space="preserve">Die Studierenden können die Funktionsweise der EU-Institutionen anhand aktueller Politikbereiche und Fallstudien kritisch beurteilen.</w:t>
            </w:r>
            <w:r w:rsidDel="00000000" w:rsidR="00000000" w:rsidRPr="00000000">
              <w:rPr>
                <w:rtl w:val="0"/>
              </w:rPr>
            </w:r>
          </w:p>
        </w:tc>
      </w:tr>
      <w:tr>
        <w:trPr>
          <w:cantSplit w:val="0"/>
          <w:trHeight w:val="416" w:hRule="atLeast"/>
          <w:tblHeader w:val="0"/>
        </w:trPr>
        <w:tc>
          <w:tcPr>
            <w:gridSpan w:val="8"/>
            <w:tcBorders>
              <w:top w:color="4aacc5" w:space="0" w:sz="8" w:val="single"/>
              <w:bottom w:color="4aacc5" w:space="0" w:sz="8" w:val="single"/>
            </w:tcBorders>
            <w:shd w:fill="4aacc5"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Wöchentliche Themenverteilung</w:t>
            </w:r>
          </w:p>
        </w:tc>
      </w:tr>
      <w:tr>
        <w:trPr>
          <w:cantSplit w:val="0"/>
          <w:trHeight w:val="3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6">
            <w:pPr>
              <w:spacing w:before="68" w:lineRule="auto"/>
              <w:ind w:left="109" w:firstLine="0"/>
              <w:rPr>
                <w:sz w:val="20"/>
                <w:szCs w:val="20"/>
              </w:rPr>
            </w:pPr>
            <w:r w:rsidDel="00000000" w:rsidR="00000000" w:rsidRPr="00000000">
              <w:rPr>
                <w:sz w:val="20"/>
                <w:szCs w:val="20"/>
                <w:rtl w:val="0"/>
              </w:rPr>
              <w:t xml:space="preserve">Die Gründung und die Grundwerte der Europäischen Union</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1EE">
            <w:pPr>
              <w:spacing w:before="68" w:lineRule="auto"/>
              <w:ind w:left="109"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Die Struktur und die Aufgaben der Europäischen Kommission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6">
            <w:pPr>
              <w:spacing w:before="68" w:lineRule="auto"/>
              <w:ind w:left="109"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Das Europäische Parlament: Wahlsystem und Befugnisse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1FE">
            <w:pPr>
              <w:spacing w:before="68" w:lineRule="auto"/>
              <w:ind w:left="109" w:firstLine="0"/>
              <w:rPr>
                <w:sz w:val="20"/>
                <w:szCs w:val="20"/>
              </w:rPr>
            </w:pPr>
            <w:r w:rsidDel="00000000" w:rsidR="00000000" w:rsidRPr="00000000">
              <w:rPr>
                <w:sz w:val="20"/>
                <w:szCs w:val="20"/>
                <w:rtl w:val="0"/>
              </w:rPr>
              <w:t xml:space="preserve">Die Rolle des Europäischen Rates und des Ministerrats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6">
            <w:pPr>
              <w:spacing w:before="68" w:lineRule="auto"/>
              <w:ind w:left="109" w:firstLine="0"/>
              <w:rPr>
                <w:sz w:val="20"/>
                <w:szCs w:val="20"/>
              </w:rPr>
            </w:pPr>
            <w:r w:rsidDel="00000000" w:rsidR="00000000" w:rsidRPr="00000000">
              <w:rPr>
                <w:sz w:val="20"/>
                <w:szCs w:val="20"/>
                <w:rtl w:val="0"/>
              </w:rPr>
              <w:t xml:space="preserve">Der Gerichtshof der Europäischen Union und Gerichtsverfahren</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0E">
            <w:pPr>
              <w:spacing w:before="68" w:lineRule="auto"/>
              <w:ind w:left="109" w:firstLine="0"/>
              <w:rPr>
                <w:sz w:val="20"/>
                <w:szCs w:val="20"/>
              </w:rPr>
            </w:pPr>
            <w:r w:rsidDel="00000000" w:rsidR="00000000" w:rsidRPr="00000000">
              <w:rPr>
                <w:sz w:val="20"/>
                <w:szCs w:val="20"/>
                <w:rtl w:val="0"/>
              </w:rPr>
              <w:t xml:space="preserve">Der EU-Haushalt: Aufstellung, Ausführung und Kontrollmechanismen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6">
            <w:pPr>
              <w:spacing w:before="68" w:lineRule="auto"/>
              <w:ind w:left="109" w:firstLine="0"/>
              <w:rPr>
                <w:sz w:val="20"/>
                <w:szCs w:val="20"/>
              </w:rPr>
            </w:pPr>
            <w:r w:rsidDel="00000000" w:rsidR="00000000" w:rsidRPr="00000000">
              <w:rPr>
                <w:sz w:val="20"/>
                <w:szCs w:val="20"/>
                <w:rtl w:val="0"/>
              </w:rPr>
              <w:t xml:space="preserve">Der Entscheidungsprozess in der EU: Mitentscheidungsverfahren</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1E">
            <w:pPr>
              <w:spacing w:before="68" w:lineRule="auto"/>
              <w:ind w:left="109" w:firstLine="0"/>
              <w:rPr>
                <w:sz w:val="20"/>
                <w:szCs w:val="20"/>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6">
            <w:pPr>
              <w:spacing w:before="68" w:lineRule="auto"/>
              <w:ind w:left="109" w:firstLine="0"/>
              <w:rPr>
                <w:sz w:val="20"/>
                <w:szCs w:val="20"/>
              </w:rPr>
            </w:pPr>
            <w:r w:rsidDel="00000000" w:rsidR="00000000" w:rsidRPr="00000000">
              <w:rPr>
                <w:sz w:val="20"/>
                <w:szCs w:val="20"/>
                <w:rtl w:val="0"/>
              </w:rPr>
              <w:t xml:space="preserve">Lobbyarbeit und der Einfluss der Zivilgesellschaft auf die EU-Politik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2E">
            <w:pPr>
              <w:spacing w:before="68" w:lineRule="auto"/>
              <w:ind w:left="109" w:firstLine="0"/>
              <w:rPr>
                <w:sz w:val="20"/>
                <w:szCs w:val="20"/>
              </w:rPr>
            </w:pPr>
            <w:r w:rsidDel="00000000" w:rsidR="00000000" w:rsidRPr="00000000">
              <w:rPr>
                <w:sz w:val="20"/>
                <w:szCs w:val="20"/>
                <w:rtl w:val="0"/>
              </w:rPr>
              <w:t xml:space="preserve">Die EU und die Außenpolitik: Außenvertretungsbefugnisse der Institutionen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6">
            <w:pPr>
              <w:spacing w:before="68" w:lineRule="auto"/>
              <w:ind w:left="109" w:firstLine="0"/>
              <w:rPr>
                <w:sz w:val="20"/>
                <w:szCs w:val="20"/>
              </w:rPr>
            </w:pPr>
            <w:r w:rsidDel="00000000" w:rsidR="00000000" w:rsidRPr="00000000">
              <w:rPr>
                <w:sz w:val="20"/>
                <w:szCs w:val="20"/>
                <w:rtl w:val="0"/>
              </w:rPr>
              <w:t xml:space="preserve">Erweiterungspolitik und Beziehungen zu den Beitrittskandidatenländern</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3E">
            <w:pPr>
              <w:spacing w:before="68"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EU-Politik in den Bereichen Klima, Energie und Digitalisierung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6">
            <w:pPr>
              <w:spacing w:before="68"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Krisenmanagement innerhalb der EU: Brexit und Migration</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4E">
            <w:pPr>
              <w:spacing w:before="68"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Europäische Staatsbürgerschaft und Formen der demokratischen Teilhabe</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56">
            <w:pPr>
              <w:spacing w:before="68"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Analyse eines aktuellen Falls: Ein Beispiel aus den Entscheidungsprozessen der EU</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5E">
            <w:pPr>
              <w:spacing w:before="68" w:lineRule="auto"/>
              <w:ind w:left="109" w:firstLine="0"/>
              <w:rPr>
                <w:sz w:val="20"/>
                <w:szCs w:val="20"/>
              </w:rPr>
            </w:pPr>
            <w:r w:rsidDel="00000000" w:rsidR="00000000" w:rsidRPr="00000000">
              <w:rPr>
                <w:sz w:val="20"/>
                <w:szCs w:val="20"/>
                <w:rtl w:val="0"/>
              </w:rPr>
              <w:t xml:space="preserve">Abschlussprüfung</w:t>
            </w:r>
          </w:p>
        </w:tc>
      </w:tr>
      <w:tr>
        <w:trPr>
          <w:cantSplit w:val="0"/>
          <w:trHeight w:val="416" w:hRule="atLeast"/>
          <w:tblHeader w:val="0"/>
        </w:trPr>
        <w:tc>
          <w:tcPr>
            <w:gridSpan w:val="8"/>
            <w:tcBorders>
              <w:top w:color="000000" w:space="0" w:sz="0" w:val="nil"/>
              <w:bottom w:color="4aacc5" w:space="0" w:sz="8" w:val="single"/>
            </w:tcBorders>
            <w:shd w:fill="4aacc5"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Beitrag der Lernergebnisse zu den Lernzielen des Programms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2"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5"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4" w:hRule="atLeast"/>
          <w:tblHeader w:val="0"/>
        </w:trPr>
        <w:tc>
          <w:tcPr>
            <w:tcBorders>
              <w:top w:color="4aacc5" w:space="0" w:sz="8" w:val="single"/>
            </w:tcBorders>
            <w:shd w:fill="b6dde8"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tcBorders>
              <w:top w:color="4aacc5" w:space="0" w:sz="8"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tcBorders>
              <w:top w:color="4aacc5" w:space="0" w:sz="8"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bl>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27F">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4"/>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shd w:fill="b6dde8"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gridSpan w:val="8"/>
            <w:tcBorders>
              <w:top w:color="4aacc5" w:space="0" w:sz="8" w:val="single"/>
              <w:bottom w:color="4aacc5" w:space="0" w:sz="8" w:val="single"/>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Borders>
              <w:top w:color="4aacc5" w:space="0" w:sz="8" w:val="single"/>
              <w:left w:color="4aacc5" w:space="0" w:sz="8" w:val="single"/>
              <w:bottom w:color="4aacc5" w:space="0" w:sz="8" w:val="single"/>
              <w:right w:color="4aacc5" w:space="0" w:sz="8" w:val="single"/>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7"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7"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Erstellt von:</w:t>
            </w:r>
          </w:p>
        </w:tc>
        <w:tc>
          <w:tcPr>
            <w:gridSpan w:val="6"/>
            <w:tcBorders>
              <w:top w:color="4aacc5" w:space="0" w:sz="8" w:val="single"/>
              <w:bottom w:color="4aacc5" w:space="0" w:sz="8"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Datum der Aktualisierung:</w:t>
            </w:r>
          </w:p>
        </w:tc>
        <w:tc>
          <w:tcPr>
            <w:gridSpan w:val="6"/>
            <w:tcBorders>
              <w:top w:color="4aacc5" w:space="0" w:sz="8" w:val="single"/>
              <w:bottom w:color="4aacc5" w:space="0" w:sz="8" w:val="single"/>
              <w:right w:color="4aacc5" w:space="0" w:sz="8"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r w:rsidDel="00000000" w:rsidR="00000000" w:rsidRPr="00000000">
              <w:rPr>
                <w:sz w:val="20"/>
                <w:szCs w:val="20"/>
                <w:rtl w:val="0"/>
              </w:rPr>
              <w:t xml:space="preserve">4.08.2025</w:t>
            </w:r>
            <w:r w:rsidDel="00000000" w:rsidR="00000000" w:rsidRPr="00000000">
              <w:rPr>
                <w:rtl w:val="0"/>
              </w:rPr>
            </w:r>
          </w:p>
        </w:tc>
      </w:tr>
    </w:tbl>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40"/>
      <w:ind w:left="1" w:right="3"/>
      <w:jc w:val="center"/>
    </w:pPr>
    <w:rPr>
      <w:rFonts w:ascii="Corbel" w:cs="Corbel" w:eastAsia="Corbel" w:hAnsi="Corbel"/>
      <w:b w:val="1"/>
      <w:bCs w:val="1"/>
      <w:sz w:val="24"/>
      <w:szCs w:val="24"/>
      <w:lang w:bidi="ar-SA" w:eastAsia="en-US" w:val="de-DE"/>
    </w:rPr>
  </w:style>
  <w:style w:type="paragraph" w:styleId="ListParagraph">
    <w:name w:val="List Paragraph"/>
    <w:basedOn w:val="Normal"/>
    <w:uiPriority w:val="1"/>
    <w:qFormat w:val="1"/>
    <w:pPr/>
    <w:rPr>
      <w:lang w:bidi="ar-SA" w:eastAsia="en-US" w:val="de-DE"/>
    </w:rPr>
  </w:style>
  <w:style w:type="paragraph" w:styleId="TableParagraph">
    <w:name w:val="Table Paragraph"/>
    <w:basedOn w:val="Normal"/>
    <w:uiPriority w:val="1"/>
    <w:qFormat w:val="1"/>
    <w:pPr/>
    <w:rPr>
      <w:rFonts w:ascii="Calibri" w:cs="Calibri" w:eastAsia="Calibri" w:hAnsi="Calibri"/>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lycXPBFdbTn47dL2CvYWvq/Dw==">CgMxLjA4AHIhMXZqZ2J1anJxWkhJWU1rdGthLXRzdFlTNU1rekx6OE5X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2025-08-04T13:04:48Z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2025-08-04T00:00:00Z</vt:filetime>
  </property>
  <property fmtid="{D5CDD505-2E9C-101B-9397-08002B2CF9AE}" pid="5" name="Producer">
    <vt:lpwstr>Microsoft® Word Microsoft 365 için</vt:lpwstr>
  </property>
</Properties>
</file>