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107</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bottom w:color="4aacc5" w:space="0" w:sz="8" w:val="single"/>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 w:line="240"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Wintersemester / Sommersemester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49"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10" w:right="0" w:firstLine="0"/>
              <w:jc w:val="left"/>
              <w:rPr>
                <w:b w:val="1"/>
                <w:bCs w:val="1"/>
                <w:i w:val="0"/>
                <w:iCs w:val="0"/>
                <w:smallCaps w:val="0"/>
                <w:strike w:val="0"/>
                <w:color w:val="000000"/>
                <w:u w:val="none"/>
                <w:shd w:fill="auto" w:val="clear"/>
                <w:vertAlign w:val="baseline"/>
              </w:rPr>
            </w:pPr>
            <w:r w:rsidDel="00000000" w:rsidR="00000000" w:rsidRPr="00000000">
              <w:rPr>
                <w:b w:val="1"/>
                <w:bCs w:val="1"/>
                <w:rtl w:val="0"/>
              </w:rPr>
              <w:t xml:space="preserve">Die EU: Ihr politisches System, ihre Rolle in den internationalen Beziehungen und Integrationstheorien </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92"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und Internationale Angelegenheiten</w:t>
            </w:r>
          </w:p>
        </w:tc>
      </w:tr>
      <w:tr>
        <w:trPr>
          <w:cantSplit w:val="0"/>
          <w:trHeight w:val="397"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spacing w:before="75" w:lineRule="auto"/>
              <w:ind w:left="8"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695" w:hRule="atLeast"/>
          <w:tblHeader w:val="0"/>
        </w:trPr>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dieses Kurses ist es, die institutionelle Struktur, die Entscheidungsmechanismen und die politische Funktionsweise der Europäischen Union zu analysieren. Er konzentriert sich auch auf die Bewertung der Rolle der EU als internationaler Akteur im Kontext historischer und aktueller Entwicklungen. Der Kurs soll den Studierenden ein Verständnis für die politische Dynamik des europäischen Integrationsprozesses und die Fähigkeit vermitteln, die Position der EU in der Weltpolitik kritisch zu analysieren.</w:t>
            </w:r>
            <w:r w:rsidDel="00000000" w:rsidR="00000000" w:rsidRPr="00000000">
              <w:rPr>
                <w:rtl w:val="0"/>
              </w:rPr>
            </w:r>
          </w:p>
        </w:tc>
      </w:tr>
      <w:tr>
        <w:trPr>
          <w:cantSplit w:val="0"/>
          <w:trHeight w:val="978"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Dieser Kurs bietet einen historischen Überblick über das politische System und den institutionellen Aufbau der Europäischen Union. Er umfasst die Funktionsweise der wichtigsten Institutionen wie des Europäischen Parlaments, der Europäischen Kommission, des Europäischen Rates und des Europäischen Gerichtshofs. Außerdem werden die außenpolitischen Entscheidungsprozesse der EU, ihre Position in globalen Krisen und ihr Platz im internationalen System im Kontext der Beziehungen zwischen der Türkei und der EU erörtert.</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2"/>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w:t>
            </w:r>
          </w:p>
        </w:tc>
      </w:tr>
      <w:tr>
        <w:trPr>
          <w:cantSplit w:val="0"/>
          <w:trHeight w:val="397"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2"/>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Prof. Dr. Wolfgang Wessel und </w:t>
            </w:r>
            <w:r w:rsidDel="00000000" w:rsidR="00000000" w:rsidRPr="00000000">
              <w:rPr>
                <w:rtl w:val="0"/>
              </w:rPr>
              <w:t xml:space="preserve">Assoc. Prof. Dr. Ebru Turhan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0" w:hRule="atLeast"/>
          <w:tblHeader w:val="0"/>
        </w:trPr>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6"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bottom w:color="000000" w:space="0" w:sz="0" w:val="nil"/>
            </w:tcBorders>
            <w:shd w:fill="4aacc5"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r>
        <w:trPr>
          <w:cantSplit w:val="0"/>
          <w:trHeight w:val="388" w:hRule="atLeast"/>
          <w:tblHeader w:val="0"/>
        </w:trPr>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12"/>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12"/>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12"/>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bottom w:color="000000" w:space="0" w:sz="0" w:val="nil"/>
            </w:tcBorders>
            <w:shd w:fill="4aacc5"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bl>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4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4.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138"/>
        <w:gridCol w:w="2516"/>
        <w:gridCol w:w="2557"/>
        <w:gridCol w:w="2684"/>
        <w:tblGridChange w:id="0">
          <w:tblGrid>
            <w:gridCol w:w="1599"/>
            <w:gridCol w:w="1138"/>
            <w:gridCol w:w="2516"/>
            <w:gridCol w:w="2557"/>
            <w:gridCol w:w="2684"/>
          </w:tblGrid>
        </w:tblGridChange>
      </w:tblGrid>
      <w:tr>
        <w:trPr>
          <w:cantSplit w:val="0"/>
          <w:trHeight w:val="486" w:hRule="atLeast"/>
          <w:tblHeader w:val="0"/>
        </w:trPr>
        <w:tc>
          <w:tcPr>
            <w:gridSpan w:val="2"/>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gridSpan w:val="2"/>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gridSpan w:val="2"/>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gridSpan w:val="2"/>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5"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28" w:hRule="atLeast"/>
          <w:tblHeader w:val="0"/>
        </w:trPr>
        <w:tc>
          <w:tcPr>
            <w:gridSpan w:val="2"/>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85">
            <w:pPr>
              <w:spacing w:before="49" w:lineRule="auto"/>
              <w:ind w:left="4" w:right="7"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87">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8A">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8C">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8F">
            <w:pPr>
              <w:spacing w:before="49" w:lineRule="auto"/>
              <w:ind w:left="2" w:right="7"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1">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94">
            <w:pPr>
              <w:spacing w:before="49" w:lineRule="auto"/>
              <w:ind w:left="19" w:firstLine="0"/>
              <w:jc w:val="center"/>
              <w:rPr>
                <w:sz w:val="20"/>
                <w:szCs w:val="20"/>
              </w:rPr>
            </w:pPr>
            <w:r w:rsidDel="00000000" w:rsidR="00000000" w:rsidRPr="00000000">
              <w:rPr>
                <w:sz w:val="20"/>
                <w:szCs w:val="20"/>
                <w:rtl w:val="0"/>
              </w:rPr>
              <w:t xml:space="preserve">obligatorisch</w:t>
            </w: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96">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bottom w:color="4aacc5" w:space="0" w:sz="8"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99">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9B">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left w:color="4aacc5" w:space="0" w:sz="8" w:val="single"/>
              <w:bottom w:color="4aacc5" w:space="0" w:sz="8"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9E">
            <w:pPr>
              <w:rPr>
                <w:rFonts w:ascii="Times New Roman" w:cs="Times New Roman" w:eastAsia="Times New Roman" w:hAnsi="Times New Roman"/>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A0">
            <w:pPr>
              <w:rPr>
                <w:rFonts w:ascii="Times New Roman" w:cs="Times New Roman" w:eastAsia="Times New Roman" w:hAnsi="Times New Roman"/>
                <w:sz w:val="20"/>
                <w:szCs w:val="20"/>
              </w:rPr>
            </w:pPr>
            <w:r w:rsidDel="00000000" w:rsidR="00000000" w:rsidRPr="00000000">
              <w:rPr>
                <w:rtl w:val="0"/>
              </w:rPr>
            </w:r>
          </w:p>
        </w:tc>
      </w:tr>
      <w:tr>
        <w:trPr>
          <w:cantSplit w:val="0"/>
          <w:trHeight w:val="340" w:hRule="atLeast"/>
          <w:tblHeader w:val="0"/>
        </w:trPr>
        <w:tc>
          <w:tcPr>
            <w:gridSpan w:val="2"/>
            <w:tcBorders>
              <w:top w:color="4aacc5" w:space="0" w:sz="8"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A3">
            <w:pPr>
              <w:spacing w:before="49" w:lineRule="auto"/>
              <w:ind w:left="19"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tcBorders>
              <w:top w:color="4aacc5" w:space="0" w:sz="8" w:val="single"/>
            </w:tcBorders>
          </w:tcPr>
          <w:p w:rsidR="00000000" w:rsidDel="00000000" w:rsidP="00000000" w:rsidRDefault="00000000" w:rsidRPr="00000000" w14:paraId="000001A5">
            <w:pPr>
              <w:spacing w:before="49" w:lineRule="auto"/>
              <w:ind w:left="23" w:firstLine="0"/>
              <w:jc w:val="center"/>
              <w:rPr>
                <w:sz w:val="20"/>
                <w:szCs w:val="20"/>
              </w:rPr>
            </w:pPr>
            <w:r w:rsidDel="00000000" w:rsidR="00000000" w:rsidRPr="00000000">
              <w:rPr>
                <w:sz w:val="20"/>
                <w:szCs w:val="20"/>
                <w:rtl w:val="0"/>
              </w:rPr>
              <w:t xml:space="preserve">60</w:t>
            </w:r>
          </w:p>
        </w:tc>
      </w:tr>
      <w:tr>
        <w:trPr>
          <w:cantSplit w:val="0"/>
          <w:trHeight w:val="332" w:hRule="atLeast"/>
          <w:tblHeader w:val="0"/>
        </w:trPr>
        <w:tc>
          <w:tcPr>
            <w:gridSpan w:val="4"/>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91"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6"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5"/>
            <w:tcBorders>
              <w:top w:color="000000" w:space="0" w:sz="0" w:val="nil"/>
              <w:bottom w:color="000000" w:space="0" w:sz="0" w:val="nil"/>
            </w:tcBorders>
            <w:shd w:fill="4aacc5" w:val="clea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gridSpan w:val="2"/>
            <w:shd w:fill="b6dde8" w:val="clea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5"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6"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gridSpan w:val="2"/>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B7">
            <w:pPr>
              <w:spacing w:before="49" w:lineRule="auto"/>
              <w:ind w:left="20" w:firstLine="0"/>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B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B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gridSpan w:val="2"/>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BC">
            <w:pPr>
              <w:jc w:val="center"/>
              <w:rPr>
                <w:sz w:val="20"/>
                <w:szCs w:val="20"/>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BD">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BE">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gridSpan w:val="2"/>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C1">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2">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C3">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gridSpan w:val="2"/>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99999999999997"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C7">
            <w:pPr>
              <w:spacing w:before="49" w:lineRule="auto"/>
              <w:ind w:left="20" w:firstLine="0"/>
              <w:jc w:val="center"/>
              <w:rPr>
                <w:sz w:val="20"/>
                <w:szCs w:val="20"/>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C8">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C9">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gridSpan w:val="2"/>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CC">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CD">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CE">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D1">
            <w:pPr>
              <w:rPr>
                <w:sz w:val="20"/>
                <w:szCs w:val="20"/>
              </w:rPr>
            </w:pPr>
            <w:r w:rsidDel="00000000" w:rsidR="00000000" w:rsidRPr="00000000">
              <w:rPr>
                <w:rtl w:val="0"/>
              </w:rPr>
            </w:r>
          </w:p>
        </w:tc>
        <w:tc>
          <w:tcPr/>
          <w:p w:rsidR="00000000" w:rsidDel="00000000" w:rsidP="00000000" w:rsidRDefault="00000000" w:rsidRPr="00000000" w14:paraId="000001D2">
            <w:pPr>
              <w:rPr>
                <w:sz w:val="20"/>
                <w:szCs w:val="20"/>
              </w:rPr>
            </w:pPr>
            <w:r w:rsidDel="00000000" w:rsidR="00000000" w:rsidRPr="00000000">
              <w:rPr>
                <w:rtl w:val="0"/>
              </w:rPr>
            </w:r>
          </w:p>
        </w:tc>
        <w:tc>
          <w:tcPr/>
          <w:p w:rsidR="00000000" w:rsidDel="00000000" w:rsidP="00000000" w:rsidRDefault="00000000" w:rsidRPr="00000000" w14:paraId="000001D3">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D6">
            <w:pPr>
              <w:rPr>
                <w:sz w:val="20"/>
                <w:szCs w:val="20"/>
              </w:rPr>
            </w:pPr>
            <w:r w:rsidDel="00000000" w:rsidR="00000000" w:rsidRPr="00000000">
              <w:rPr>
                <w:rtl w:val="0"/>
              </w:rPr>
            </w:r>
          </w:p>
        </w:tc>
        <w:tc>
          <w:tcPr/>
          <w:p w:rsidR="00000000" w:rsidDel="00000000" w:rsidP="00000000" w:rsidRDefault="00000000" w:rsidRPr="00000000" w14:paraId="000001D7">
            <w:pPr>
              <w:rPr>
                <w:sz w:val="20"/>
                <w:szCs w:val="20"/>
              </w:rPr>
            </w:pPr>
            <w:r w:rsidDel="00000000" w:rsidR="00000000" w:rsidRPr="00000000">
              <w:rPr>
                <w:rtl w:val="0"/>
              </w:rPr>
            </w:r>
          </w:p>
        </w:tc>
        <w:tc>
          <w:tcPr/>
          <w:p w:rsidR="00000000" w:rsidDel="00000000" w:rsidP="00000000" w:rsidRDefault="00000000" w:rsidRPr="00000000" w14:paraId="000001D8">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DB">
            <w:pPr>
              <w:rPr>
                <w:sz w:val="20"/>
                <w:szCs w:val="20"/>
              </w:rPr>
            </w:pPr>
            <w:r w:rsidDel="00000000" w:rsidR="00000000" w:rsidRPr="00000000">
              <w:rPr>
                <w:rtl w:val="0"/>
              </w:rPr>
            </w:r>
          </w:p>
        </w:tc>
        <w:tc>
          <w:tcPr/>
          <w:p w:rsidR="00000000" w:rsidDel="00000000" w:rsidP="00000000" w:rsidRDefault="00000000" w:rsidRPr="00000000" w14:paraId="000001DC">
            <w:pPr>
              <w:rPr>
                <w:sz w:val="20"/>
                <w:szCs w:val="20"/>
              </w:rPr>
            </w:pPr>
            <w:r w:rsidDel="00000000" w:rsidR="00000000" w:rsidRPr="00000000">
              <w:rPr>
                <w:rtl w:val="0"/>
              </w:rPr>
            </w:r>
          </w:p>
        </w:tc>
        <w:tc>
          <w:tcPr/>
          <w:p w:rsidR="00000000" w:rsidDel="00000000" w:rsidP="00000000" w:rsidRDefault="00000000" w:rsidRPr="00000000" w14:paraId="000001DD">
            <w:pPr>
              <w:rPr>
                <w:sz w:val="20"/>
                <w:szCs w:val="20"/>
              </w:rPr>
            </w:pPr>
            <w:r w:rsidDel="00000000" w:rsidR="00000000" w:rsidRPr="00000000">
              <w:rPr>
                <w:rtl w:val="0"/>
              </w:rPr>
            </w:r>
          </w:p>
        </w:tc>
      </w:tr>
      <w:tr>
        <w:trPr>
          <w:cantSplit w:val="0"/>
          <w:trHeight w:val="340" w:hRule="atLeast"/>
          <w:tblHeader w:val="0"/>
        </w:trPr>
        <w:tc>
          <w:tcPr>
            <w:gridSpan w:val="2"/>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E0">
            <w:pPr>
              <w:spacing w:before="49" w:lineRule="auto"/>
              <w:ind w:left="20" w:firstLine="0"/>
              <w:jc w:val="center"/>
              <w:rPr>
                <w:sz w:val="20"/>
                <w:szCs w:val="20"/>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E1">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2">
            <w:pPr>
              <w:spacing w:before="49" w:lineRule="auto"/>
              <w:ind w:left="75" w:right="9" w:firstLine="0"/>
              <w:jc w:val="center"/>
              <w:rPr>
                <w:sz w:val="20"/>
                <w:szCs w:val="20"/>
              </w:rPr>
            </w:pPr>
            <w:r w:rsidDel="00000000" w:rsidR="00000000" w:rsidRPr="00000000">
              <w:rPr>
                <w:sz w:val="20"/>
                <w:szCs w:val="20"/>
                <w:rtl w:val="0"/>
              </w:rPr>
              <w:t xml:space="preserve">4</w:t>
            </w:r>
            <w:r w:rsidDel="00000000" w:rsidR="00000000" w:rsidRPr="00000000">
              <w:rPr>
                <w:rtl w:val="0"/>
              </w:rPr>
            </w:r>
          </w:p>
        </w:tc>
      </w:tr>
      <w:tr>
        <w:trPr>
          <w:cantSplit w:val="0"/>
          <w:trHeight w:val="397" w:hRule="atLeast"/>
          <w:tblHeader w:val="0"/>
        </w:trPr>
        <w:tc>
          <w:tcPr>
            <w:gridSpan w:val="4"/>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93"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6"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388" w:hRule="atLeast"/>
          <w:tblHeader w:val="0"/>
        </w:trPr>
        <w:tc>
          <w:tcPr>
            <w:gridSpan w:val="4"/>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5"/>
            <w:tcBorders>
              <w:bottom w:color="000000" w:space="0" w:sz="0" w:val="nil"/>
            </w:tcBorders>
            <w:shd w:fill="4aacc5"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390" w:hRule="atLeast"/>
          <w:tblHeader w:val="0"/>
        </w:trPr>
        <w:tc>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4"/>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die institutionelle Struktur, die Funktionsmechanismen und die Entscheidungsprozesse der Europäischen Union zu analysieren.</w:t>
            </w:r>
            <w:r w:rsidDel="00000000" w:rsidR="00000000" w:rsidRPr="00000000">
              <w:rPr>
                <w:rtl w:val="0"/>
              </w:rPr>
            </w:r>
          </w:p>
        </w:tc>
      </w:tr>
      <w:tr>
        <w:trPr>
          <w:cantSplit w:val="0"/>
          <w:trHeight w:val="536" w:hRule="atLeast"/>
          <w:tblHeader w:val="0"/>
        </w:trPr>
        <w:tc>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4"/>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Die Studierenden sind in der Lage, den außenpolitischen Ansatz der Europäischen Union im Rahmen der Theorien der internationalen Beziehungen zu bewerten.</w:t>
            </w:r>
            <w:r w:rsidDel="00000000" w:rsidR="00000000" w:rsidRPr="00000000">
              <w:rPr>
                <w:rtl w:val="0"/>
              </w:rPr>
            </w:r>
          </w:p>
        </w:tc>
      </w:tr>
    </w:tbl>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FE">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0.000000000002"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395" w:hRule="atLeast"/>
          <w:tblHeader w:val="0"/>
        </w:trPr>
        <w:tc>
          <w:tcPr>
            <w:tcBorders>
              <w:bottom w:color="4aacc5" w:space="0" w:sz="8"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 Studenten werden die Hauptrichtungen der Entwicklung des politischen Systems der EU analysieren.</w:t>
            </w:r>
            <w:r w:rsidDel="00000000" w:rsidR="00000000" w:rsidRPr="00000000">
              <w:rPr>
                <w:rtl w:val="0"/>
              </w:rPr>
            </w:r>
          </w:p>
        </w:tc>
      </w:tr>
      <w:tr>
        <w:trPr>
          <w:cantSplit w:val="0"/>
          <w:trHeight w:val="416" w:hRule="atLeast"/>
          <w:tblHeader w:val="0"/>
        </w:trPr>
        <w:tc>
          <w:tcPr>
            <w:gridSpan w:val="8"/>
            <w:tcBorders>
              <w:top w:color="4aacc5" w:space="0" w:sz="8" w:val="single"/>
              <w:bottom w:color="000000" w:space="0" w:sz="0" w:val="nil"/>
            </w:tcBorders>
            <w:shd w:fill="4aacc5" w:val="cle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Einleitung: Das EU-System im Überblick</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tcBorders>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Konzeptualisierung der Architektur der EU: Das TEDO-Schema</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Die EU in einer sich ständig verändernden Welt: Indikatoren der Relevanz</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tcBorders>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Wechselnde theoretische Perspektiven: Zwischen Intergouvernementalismus und Supranationalismus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Das Europäische Parlament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tcBorders>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Europäische Rat</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Präsentationswoche</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Zwischenwoche</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Präsident des Europäischen Rates</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tcBorders>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Rat der Europäischen Union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Die Europäische Kommission: Shifting Assessments</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tcBorders>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Hohe Vertreter der Union für Außen- und Sicherheitspolitik und den Europäischen Auswärtigen Dienst</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Der Gerichtshof der Europäischen Union</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tcBorders>
          </w:tcPr>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Systemherstellung: Vertiefung und Erweiterung ausgleichen I</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15</w:t>
            </w:r>
            <w:r w:rsidDel="00000000" w:rsidR="00000000" w:rsidRPr="00000000">
              <w:rPr>
                <w:rtl w:val="0"/>
              </w:rPr>
            </w:r>
          </w:p>
        </w:tc>
        <w:tc>
          <w:tcPr>
            <w:gridSpan w:val="7"/>
            <w:tcBorders>
              <w:top w:color="4aacc5" w:space="0" w:sz="8" w:val="single"/>
              <w:bottom w:color="4aacc5" w:space="0" w:sz="8" w:val="single"/>
            </w:tcBorders>
          </w:tcPr>
          <w:p w:rsidR="00000000" w:rsidDel="00000000" w:rsidP="00000000" w:rsidRDefault="00000000" w:rsidRPr="00000000" w14:paraId="0000028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Systemherstellung: Vertiefung und Erweiterung ausgleichen II</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w:t>
            </w:r>
            <w:r w:rsidDel="00000000" w:rsidR="00000000" w:rsidRPr="00000000">
              <w:rPr>
                <w:rtl w:val="0"/>
              </w:rPr>
            </w:r>
          </w:p>
        </w:tc>
        <w:tc>
          <w:tcPr>
            <w:gridSpan w:val="7"/>
            <w:tcBorders>
              <w:top w:color="4aacc5" w:space="0" w:sz="8" w:val="single"/>
              <w:bottom w:color="000000" w:space="0" w:sz="0" w:val="nil"/>
              <w:right w:color="4aacc5" w:space="0" w:sz="8" w:val="single"/>
            </w:tcBorders>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Final Exam</w:t>
            </w:r>
            <w:r w:rsidDel="00000000" w:rsidR="00000000" w:rsidRPr="00000000">
              <w:rPr>
                <w:rtl w:val="0"/>
              </w:rPr>
            </w:r>
          </w:p>
        </w:tc>
      </w:tr>
      <w:tr>
        <w:trPr>
          <w:cantSplit w:val="0"/>
          <w:trHeight w:val="416"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r>
        <w:trPr>
          <w:cantSplit w:val="0"/>
          <w:trHeight w:val="27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tcBorders>
            <w:shd w:fill="b6dde8" w:val="cle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0">
            <w:pPr>
              <w:spacing w:before="21"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1">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2">
            <w:pPr>
              <w:spacing w:before="21" w:line="242" w:lineRule="auto"/>
              <w:ind w:left="18" w:right="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3">
            <w:pPr>
              <w:spacing w:before="21" w:line="242" w:lineRule="auto"/>
              <w:ind w:left="9" w:firstLine="0"/>
              <w:jc w:val="center"/>
              <w:rPr>
                <w:sz w:val="20"/>
                <w:szCs w:val="20"/>
              </w:rPr>
            </w:pPr>
            <w:r w:rsidDel="00000000" w:rsidR="00000000" w:rsidRPr="00000000">
              <w:rPr>
                <w:sz w:val="20"/>
                <w:szCs w:val="20"/>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4">
            <w:pPr>
              <w:spacing w:before="21" w:line="242" w:lineRule="auto"/>
              <w:ind w:left="17"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5">
            <w:pPr>
              <w:spacing w:before="21" w:line="242" w:lineRule="auto"/>
              <w:ind w:left="18" w:firstLine="0"/>
              <w:jc w:val="center"/>
              <w:rPr>
                <w:sz w:val="20"/>
                <w:szCs w:val="20"/>
              </w:rPr>
            </w:pPr>
            <w:r w:rsidDel="00000000" w:rsidR="00000000" w:rsidRPr="00000000">
              <w:rPr>
                <w:sz w:val="20"/>
                <w:szCs w:val="20"/>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2A6">
            <w:pPr>
              <w:spacing w:before="21"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shd w:fill="b6dde8" w:val="clea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8">
            <w:pPr>
              <w:spacing w:before="20" w:line="242"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9">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A">
            <w:pPr>
              <w:spacing w:before="20" w:line="242" w:lineRule="auto"/>
              <w:ind w:left="18" w:right="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B">
            <w:pPr>
              <w:spacing w:before="20" w:line="242" w:lineRule="auto"/>
              <w:ind w:left="9"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C">
            <w:pPr>
              <w:spacing w:before="20" w:line="242" w:lineRule="auto"/>
              <w:ind w:left="17"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D">
            <w:pPr>
              <w:spacing w:before="20" w:line="242" w:lineRule="auto"/>
              <w:ind w:left="18"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AE">
            <w:pPr>
              <w:spacing w:before="20" w:line="242" w:lineRule="auto"/>
              <w:ind w:left="19" w:firstLine="0"/>
              <w:jc w:val="center"/>
              <w:rPr>
                <w:sz w:val="20"/>
                <w:szCs w:val="20"/>
              </w:rPr>
            </w:pPr>
            <w:r w:rsidDel="00000000" w:rsidR="00000000" w:rsidRPr="00000000">
              <w:rPr>
                <w:sz w:val="20"/>
                <w:szCs w:val="20"/>
                <w:rtl w:val="0"/>
              </w:rPr>
              <w:t xml:space="preserve">4</w:t>
            </w:r>
          </w:p>
        </w:tc>
      </w:tr>
      <w:tr>
        <w:trPr>
          <w:cantSplit w:val="0"/>
          <w:trHeight w:val="282" w:hRule="atLeast"/>
          <w:tblHeader w:val="0"/>
        </w:trPr>
        <w:tc>
          <w:tcPr>
            <w:shd w:fill="b6dde8" w:val="cle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0">
            <w:pPr>
              <w:spacing w:before="20" w:lineRule="auto"/>
              <w:ind w:left="18" w:firstLine="0"/>
              <w:jc w:val="center"/>
              <w:rPr>
                <w:sz w:val="20"/>
                <w:szCs w:val="20"/>
              </w:rPr>
            </w:pPr>
            <w:r w:rsidDel="00000000" w:rsidR="00000000" w:rsidRPr="00000000">
              <w:rPr>
                <w:sz w:val="20"/>
                <w:szCs w:val="20"/>
                <w:rtl w:val="0"/>
              </w:rPr>
              <w:t xml:space="preserve">5</w:t>
            </w:r>
            <w:r w:rsidDel="00000000" w:rsidR="00000000" w:rsidRPr="00000000">
              <w:rPr>
                <w:rtl w:val="0"/>
              </w:rPr>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1">
            <w:pPr>
              <w:spacing w:before="20" w:lineRule="auto"/>
              <w:ind w:left="18" w:firstLine="0"/>
              <w:jc w:val="center"/>
              <w:rPr>
                <w:sz w:val="20"/>
                <w:szCs w:val="20"/>
              </w:rPr>
            </w:pPr>
            <w:r w:rsidDel="00000000" w:rsidR="00000000" w:rsidRPr="00000000">
              <w:rPr>
                <w:sz w:val="20"/>
                <w:szCs w:val="20"/>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2">
            <w:pPr>
              <w:spacing w:before="20" w:lineRule="auto"/>
              <w:ind w:left="18" w:right="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3">
            <w:pPr>
              <w:spacing w:before="20" w:lineRule="auto"/>
              <w:ind w:left="9"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4">
            <w:pPr>
              <w:spacing w:before="20" w:lineRule="auto"/>
              <w:ind w:left="17" w:firstLine="0"/>
              <w:jc w:val="center"/>
              <w:rPr>
                <w:sz w:val="20"/>
                <w:szCs w:val="20"/>
              </w:rPr>
            </w:pPr>
            <w:r w:rsidDel="00000000" w:rsidR="00000000" w:rsidRPr="00000000">
              <w:rPr>
                <w:sz w:val="20"/>
                <w:szCs w:val="20"/>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5">
            <w:pPr>
              <w:spacing w:before="20" w:lineRule="auto"/>
              <w:ind w:left="18" w:firstLine="0"/>
              <w:jc w:val="center"/>
              <w:rPr>
                <w:sz w:val="20"/>
                <w:szCs w:val="20"/>
              </w:rPr>
            </w:pPr>
            <w:r w:rsidDel="00000000" w:rsidR="00000000" w:rsidRPr="00000000">
              <w:rPr>
                <w:sz w:val="20"/>
                <w:szCs w:val="20"/>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B6">
            <w:pPr>
              <w:spacing w:before="20" w:lineRule="auto"/>
              <w:ind w:left="19" w:firstLine="0"/>
              <w:jc w:val="center"/>
              <w:rPr>
                <w:sz w:val="20"/>
                <w:szCs w:val="20"/>
              </w:rPr>
            </w:pPr>
            <w:r w:rsidDel="00000000" w:rsidR="00000000" w:rsidRPr="00000000">
              <w:rPr>
                <w:sz w:val="20"/>
                <w:szCs w:val="20"/>
                <w:rtl w:val="0"/>
              </w:rPr>
              <w:t xml:space="preserve">5</w:t>
            </w:r>
          </w:p>
        </w:tc>
      </w:tr>
    </w:tbl>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2B9">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4"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5" w:hRule="atLeast"/>
          <w:tblHeader w:val="0"/>
        </w:trPr>
        <w:tc>
          <w:tcPr>
            <w:gridSpan w:val="8"/>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8"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Alkan</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29.04.2025</w:t>
            </w:r>
            <w:r w:rsidDel="00000000" w:rsidR="00000000" w:rsidRPr="00000000">
              <w:rPr>
                <w:rtl w:val="0"/>
              </w:rPr>
            </w:r>
          </w:p>
        </w:tc>
      </w:tr>
    </w:tbl>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3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4616386</wp:posOffset>
              </wp:positionH>
              <wp:positionV relativeFrom="page">
                <wp:posOffset>320231</wp:posOffset>
              </wp:positionV>
              <wp:extent cx="2513965" cy="32639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13965" cy="3263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Calibri" w:cs="Calibri" w:eastAsia="Calibri" w:hAnsi="Calibri"/>
      <w:lang w:bidi="ar-SA" w:eastAsia="en-US" w:val="de-DE"/>
    </w:rPr>
  </w:style>
  <w:style w:type="paragraph" w:styleId="BodyText">
    <w:name w:val="Body Text"/>
    <w:basedOn w:val="Normal"/>
    <w:uiPriority w:val="1"/>
    <w:qFormat w:val="1"/>
    <w:pPr>
      <w:spacing w:before="40"/>
      <w:ind w:left="1" w:right="3"/>
      <w:jc w:val="center"/>
    </w:pPr>
    <w:rPr>
      <w:rFonts w:ascii="Corbel" w:cs="Corbel" w:eastAsia="Corbel" w:hAnsi="Corbel"/>
      <w:b w:val="1"/>
      <w:bCs w:val="1"/>
      <w:sz w:val="24"/>
      <w:szCs w:val="24"/>
      <w:lang w:bidi="ar-SA" w:eastAsia="en-US" w:val="de-DE"/>
    </w:rPr>
  </w:style>
  <w:style w:type="paragraph" w:styleId="ListParagraph">
    <w:name w:val="List Paragraph"/>
    <w:basedOn w:val="Normal"/>
    <w:uiPriority w:val="1"/>
    <w:qFormat w:val="1"/>
    <w:pPr/>
    <w:rPr>
      <w:lang w:bidi="ar-SA" w:eastAsia="en-US" w:val="de-DE"/>
    </w:rPr>
  </w:style>
  <w:style w:type="paragraph" w:styleId="TableParagraph">
    <w:name w:val="Table Paragraph"/>
    <w:basedOn w:val="Normal"/>
    <w:uiPriority w:val="1"/>
    <w:qFormat w:val="1"/>
    <w:pPr/>
    <w:rPr>
      <w:rFonts w:ascii="Calibri" w:cs="Calibri" w:eastAsia="Calibri" w:hAnsi="Calibri"/>
      <w:lang w:bidi="ar-SA" w:eastAsia="en-US" w:val="de-D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rOEoCEwn45dNMn3iJDnelAsQw==">CgMxLjA4AHIhMVRLdS1IVXBlUDkyaVFlQ3M5cDN5Ykx2b1ZUS1ZZMklw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2025-05-02T12:40:49Z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ies>
</file>