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108</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21. YY'da Uluslararası Kuruluşlar ve Yönetişim</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21. yüzyılda uluslararası kuruluşların küresel siyasetteki rolünü ve yönetişim mekanizmalarını kuramsal ve uygulamalı boyutlarıyla incelemektir. Öğrencilerin küresel yönetişim, uluslararası iş birliği ve çok taraflılık süreçlerini analiz edebilmeleri hedeflenmektedir. Ayrıca, uluslararası kuruluşların küresel sorunların çözümündeki etkinliklerini ve karşılaştıkları zorlukları eleştirel bir perspektifle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küresel yönetişim kavramını, uluslararası kuruluşların gelişimini ve uluslararası sistemdeki işlevlerini içerir. Ders kapsamında United Nations, World Trade Organization, International Monetary Fund, World Bank, North Atlantic Treaty Organization ve bölgesel örgütlerin yapıları, karar alma süreçleri ve politika alanları incelenir. Ayrıca, iklim değişikliği, göç, küresel sağlık, sürdürülebilir kalkınma ve güvenlik gibi güncel küresel sorunlar bağlamında yönetişim mekanizmalarının etkinliği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uluslararası kuruluşların yapısını, işlevlerini ve küresel yönetişim süreçlerindeki rollerini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uluslararası kuruluşların küresel sorunların çözümüne yönelik politika ve uygulamalarını kuramsal yaklaşımlar çerçevesinde değerlendirebilir.</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güncel küresel yönetişim tartışmalarını ve uluslararası kuruluşların etkinliğini eleştirel bir bakış açısıyla yorumlayabilir.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4592574</wp:posOffset>
              </wp:positionH>
              <wp:positionV relativeFrom="page">
                <wp:posOffset>296420</wp:posOffset>
              </wp:positionV>
              <wp:extent cx="2561590" cy="3740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4592574</wp:posOffset>
              </wp:positionH>
              <wp:positionV relativeFrom="page">
                <wp:posOffset>296420</wp:posOffset>
              </wp:positionV>
              <wp:extent cx="2561590" cy="3740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61590" cy="3740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Ai98dMV+WWuVF7Sd3jITjd+hA==">CgMxLjA4AHIhMXlHRGRza05WRWgxczlYN0h5VHpJaHZLQk9nQzV4ZnV3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