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INT120</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EU and Globalization</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political, economic, social, and cultural dimensions of globalization from the perspective of the European Union. The course seeks to enable students to analyze the impact of globalization on European integration and the role of the European Union in global governance. Furthermore, it aims to develop students’ ability to critically assess the EU’s policies and strategies in addressing global challenges such as economic competition, migration, environmental issues, security, and digital transformation.</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explores the concept of globalization and its major theoretical approaches within the context of the European Union. Topics include the global economy, international trade, global governance, multilateralism, migration, environmental policies, digitalization, and sustainable development. In addition, the course examines the European Union’s role as a global actor, the impact of globalization on European integration, and the EU’s policy responses to contemporary global challenges.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1099.5019531249998"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main theoretical approaches to globalization and its political, economic, and social impacts on the European Union.</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the role of the European Union in global governance and its policies and strategies for addressing global challenges.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assess the consequences of globalization for European integration, migration, environmental issues, security, and digital transformation.</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4568762</wp:posOffset>
              </wp:positionH>
              <wp:positionV relativeFrom="page">
                <wp:posOffset>272609</wp:posOffset>
              </wp:positionV>
              <wp:extent cx="2609215" cy="4216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4568762</wp:posOffset>
              </wp:positionH>
              <wp:positionV relativeFrom="page">
                <wp:posOffset>272609</wp:posOffset>
              </wp:positionV>
              <wp:extent cx="2609215" cy="4216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09215" cy="4216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DTkifhJqlNhhKv186aq1TlVqYw==">CgMxLjA4AHIhMWpodXFyR2hBcXFLZFV1aEZRLTlvamtoT2V5aU5ndVIx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