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14</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Zeitgenössische Fragen der  EU-Turkey Bezihungen</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historische Entwicklung und die aktuellen Dynamiken der Beziehungen zwischen der Europäischen Union und der Türkei aus politischer, wirtschaftlicher, rechtlicher und gesellschaftlicher Perspektive zu untersuchen. Die Studierenden sollen befähigt werden, die zentralen Herausforderungen, Kooperationsfelder und Transformationsprozesse der EU-Türkei-Beziehungen zu analysieren. Darüber hinaus sollen sie Themen wie Beitrittsverhandlungen, Migration, Sicherheit, Außenpolitik und wirtschaftliche Integration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die historische Entwicklung, den institutionellen Rahmen und die zentralen Politikfelder der Beziehungen zwischen der Türkei und der Europäischen Union. Im Rahmen des Kurses werden die Beziehungen der Türkei zum europäischen Integrationsprozess, der Kandidatenstatus und die Beitrittsverhandlungen, die Zollunion, Migrationspolitik, Energiepolitik, Sicherheitskooperation sowie Menschenrechtsfragen untersucht. Darüber hinaus werden aktuelle Herausforderungen und Zukunftsszenarien der EU-Türkei-Beziehungen anhand wissenschaftlicher und politischer Debatten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Assoc. Prof. Dr. Ebru Turhan</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Assoc. Prof. Dr. Ebru Turhan</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b w:val="1"/>
                <w:bCs w:val="1"/>
              </w:rPr>
            </w:pPr>
            <w:r w:rsidDel="00000000" w:rsidR="00000000" w:rsidRPr="00000000">
              <w:rPr>
                <w:b w:val="1"/>
                <w:bCs w:val="1"/>
                <w:rtl w:val="0"/>
              </w:rPr>
              <w:t xml:space="preserve">Die Studierenden können die historische Entwicklung, den institutionellen Rahmen und die zentralen Politikfelder der Beziehungen zwischen der Europäischen Union und der Türkei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b w:val="1"/>
                <w:bCs w:val="1"/>
              </w:rPr>
            </w:pPr>
            <w:r w:rsidDel="00000000" w:rsidR="00000000" w:rsidRPr="00000000">
              <w:rPr>
                <w:b w:val="1"/>
                <w:bCs w:val="1"/>
                <w:rtl w:val="0"/>
              </w:rPr>
              <w:t xml:space="preserve">Die Studierenden können aktuelle Themen der EU-Türkei-Beziehungen, wie den Beitrittsprozess, Migration, Sicherheit, wirtschaftliche Zusammenarbeit und Außenpolitik, anhand theoretischer und empirischer Ansätze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b w:val="1"/>
                <w:bCs w:val="1"/>
              </w:rPr>
            </w:pPr>
            <w:r w:rsidDel="00000000" w:rsidR="00000000" w:rsidRPr="00000000">
              <w:rPr>
                <w:b w:val="1"/>
                <w:bCs w:val="1"/>
                <w:rtl w:val="0"/>
              </w:rPr>
              <w:t xml:space="preserve">Die Studierenden können mögliche Zukunftsszenarien der EU-Türkei-Beziehungen kritisch beurteilen und fundierte wissenschaftliche Argumentationen entwickeln.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4583049</wp:posOffset>
              </wp:positionH>
              <wp:positionV relativeFrom="page">
                <wp:posOffset>286895</wp:posOffset>
              </wp:positionV>
              <wp:extent cx="2580640" cy="3930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4583049</wp:posOffset>
              </wp:positionH>
              <wp:positionV relativeFrom="page">
                <wp:posOffset>286895</wp:posOffset>
              </wp:positionV>
              <wp:extent cx="2580640" cy="3930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0640" cy="3930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5HLC0P3oAu1oSmYU9r38aD3hg==">CgMxLjA4AHIhMWozcG90SjVKc1RtWEZsRDZVZXYyVThfN1R4cmY5Zzdj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