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INT122</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sz w:val="20"/>
                <w:szCs w:val="20"/>
                <w:rtl w:val="0"/>
              </w:rPr>
              <w:t xml:space="preserve">Human Mobility, Migration and Refugees in Europe</w:t>
            </w:r>
            <w:r w:rsidDel="00000000" w:rsidR="00000000" w:rsidRPr="00000000">
              <w:rPr>
                <w:b w:val="1"/>
                <w:bCs w:val="1"/>
                <w:rtl w:val="0"/>
              </w:rPr>
              <w:t xml:space="preserve"> </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human mobility, migration, and refugee issues in Europe from historical, political, legal, and societal perspectives. The course seeks to enable students to analyze migration processes, migration policies, and refugee regimes in Europe at national, regional, and global levels. Furthermore, it aims to develop students’ ability to critically assess the impact of migration and refugee movements on European societies, identity politics, human rights, and security.</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covers the historical development, major theoretical approaches, and contemporary dynamics of migration and human mobility in Europe. Topics include theories of international migration, European Union migration and asylum policies, refugee law, integration policies, border management, irregular migration, and human rights. In addition, the course examines the effects of migration on social cohesion, citizenship, identity, security, and European integration through contemporary case studies.</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1"/>
          </w:tcPr>
          <w:p w:rsidR="00000000" w:rsidDel="00000000" w:rsidP="00000000" w:rsidRDefault="00000000" w:rsidRPr="00000000" w14:paraId="000000B5">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1"/>
          </w:tcPr>
          <w:p w:rsidR="00000000" w:rsidDel="00000000" w:rsidP="00000000" w:rsidRDefault="00000000" w:rsidRPr="00000000" w14:paraId="000000C2">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1099.5019531249998"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b w:val="1"/>
                <w:bCs w:val="1"/>
              </w:rPr>
            </w:pPr>
            <w:r w:rsidDel="00000000" w:rsidR="00000000" w:rsidRPr="00000000">
              <w:rPr>
                <w:b w:val="1"/>
                <w:bCs w:val="1"/>
                <w:rtl w:val="0"/>
              </w:rPr>
              <w:t xml:space="preserve">Students can analyze migration, human mobility, and refugee processes in Europe through relevant theoretical approaches and conceptual frameworks.</w:t>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line="249" w:lineRule="auto"/>
              <w:ind w:left="110" w:firstLine="0"/>
              <w:rPr>
                <w:b w:val="1"/>
                <w:bCs w:val="1"/>
              </w:rPr>
            </w:pPr>
            <w:r w:rsidDel="00000000" w:rsidR="00000000" w:rsidRPr="00000000">
              <w:rPr>
                <w:b w:val="1"/>
                <w:bCs w:val="1"/>
                <w:rtl w:val="0"/>
              </w:rPr>
              <w:t xml:space="preserve">Students can evaluate European Union migration and asylum policies, international refugee law, and integration policies.</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b w:val="1"/>
                <w:bCs w:val="1"/>
              </w:rPr>
            </w:pPr>
            <w:r w:rsidDel="00000000" w:rsidR="00000000" w:rsidRPr="00000000">
              <w:rPr>
                <w:b w:val="1"/>
                <w:bCs w:val="1"/>
                <w:rtl w:val="0"/>
              </w:rPr>
              <w:t xml:space="preserve">Students can critically assess the impact of migration and refugee movements on European societies, human rights, security, and identity politics.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4563999</wp:posOffset>
              </wp:positionH>
              <wp:positionV relativeFrom="page">
                <wp:posOffset>267847</wp:posOffset>
              </wp:positionV>
              <wp:extent cx="2618740" cy="4311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4563999</wp:posOffset>
              </wp:positionH>
              <wp:positionV relativeFrom="page">
                <wp:posOffset>267847</wp:posOffset>
              </wp:positionV>
              <wp:extent cx="2618740" cy="4311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18740" cy="4311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kEFTuu+Z3Qh68Vh35/4ISk5lsA==">CgMxLjA4AHIhMXFwdnYxSUFOY2tic2VYcXJQOWhPUGt3dU5acjFILW9X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