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AA" w:rsidRPr="006D08DF" w:rsidRDefault="00A51F3D" w:rsidP="00A51F3D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>ERASMUS+ ÖĞRENİM HAREKETLİLİĞİ</w:t>
      </w:r>
    </w:p>
    <w:p w:rsidR="00D34B66" w:rsidRPr="006D08DF" w:rsidRDefault="00855BAA" w:rsidP="007F23CA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HAREKETLİLİK </w:t>
      </w:r>
      <w:r w:rsidR="005C6F74" w:rsidRPr="006D08DF">
        <w:rPr>
          <w:rFonts w:ascii="Cambria" w:hAnsi="Cambria" w:cs="Times New Roman"/>
          <w:b/>
          <w:sz w:val="24"/>
          <w:szCs w:val="24"/>
          <w:lang w:val="tr-TR"/>
        </w:rPr>
        <w:t>SONRASI</w:t>
      </w: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A742B7" w:rsidRPr="006D08DF">
        <w:rPr>
          <w:rFonts w:ascii="Cambria" w:hAnsi="Cambria" w:cs="Times New Roman"/>
          <w:b/>
          <w:sz w:val="24"/>
          <w:szCs w:val="24"/>
          <w:lang w:val="tr-TR"/>
        </w:rPr>
        <w:t>KONTROL LİSTESİ</w:t>
      </w:r>
    </w:p>
    <w:p w:rsidR="00855BAA" w:rsidRPr="006D08DF" w:rsidRDefault="00855BAA" w:rsidP="00855BAA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</w:p>
    <w:p w:rsidR="00A742B7" w:rsidRPr="006D08DF" w:rsidRDefault="00A742B7" w:rsidP="006E64B4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>Bu belge hareketlilik için gerekli olan işlemleri takip etmenizde kolaylık sağlamak amacıyla hazırlanmıştır. Aşağıda listelenen belgeleri, açıklamalara uygun olarak hazırlayarak ve sıralı düzenleyere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>k bir dosya içinde hareketliliği</w:t>
      </w:r>
      <w:r w:rsidR="006D08DF">
        <w:rPr>
          <w:rFonts w:ascii="Cambria" w:hAnsi="Cambria" w:cs="Times New Roman"/>
          <w:sz w:val="20"/>
          <w:szCs w:val="20"/>
          <w:lang w:val="tr-TR"/>
        </w:rPr>
        <w:t>nizin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 xml:space="preserve"> tamamlanmasından sonra</w:t>
      </w:r>
      <w:r w:rsidRPr="006D08DF">
        <w:rPr>
          <w:rFonts w:ascii="Cambria" w:hAnsi="Cambria" w:cs="Times New Roman"/>
          <w:sz w:val="20"/>
          <w:szCs w:val="20"/>
          <w:lang w:val="tr-TR"/>
        </w:rPr>
        <w:t xml:space="preserve"> Uluslararası İlişkiler Ofisi’ne teslim etmeniz gerekmektedir. </w:t>
      </w:r>
    </w:p>
    <w:p w:rsidR="00C058A9" w:rsidRPr="006D08DF" w:rsidRDefault="00A742B7" w:rsidP="00686045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 xml:space="preserve">Belgelerinizde eksiklik bulunması ya da uygunsuzluk tespit edilmesi halinde, dosyanız kabul edilmeyecektir. Kontrol listesi üzerinde işaretlemeler Uluslararası İlişkiler </w:t>
      </w:r>
      <w:r w:rsidR="007777D4" w:rsidRPr="006D08DF">
        <w:rPr>
          <w:rFonts w:ascii="Cambria" w:hAnsi="Cambria" w:cs="Times New Roman"/>
          <w:sz w:val="20"/>
          <w:szCs w:val="20"/>
          <w:lang w:val="tr-TR"/>
        </w:rPr>
        <w:t xml:space="preserve">Ofisi tarafından yapılacaktır. </w:t>
      </w:r>
    </w:p>
    <w:p w:rsidR="00A742B7" w:rsidRPr="007F23CA" w:rsidRDefault="00A742B7">
      <w:pPr>
        <w:rPr>
          <w:rFonts w:ascii="Cambria" w:hAnsi="Cambria" w:cs="Times New Roman"/>
          <w:b/>
          <w:lang w:val="tr-TR"/>
        </w:rPr>
      </w:pPr>
      <w:r w:rsidRPr="007F23CA">
        <w:rPr>
          <w:rFonts w:ascii="Cambria" w:hAnsi="Cambria" w:cs="Times New Roman"/>
          <w:b/>
          <w:u w:val="single"/>
          <w:lang w:val="tr-TR"/>
        </w:rPr>
        <w:t>ÖĞRENCİ BİLGİLERİ</w:t>
      </w:r>
      <w:r w:rsidRPr="007F23CA">
        <w:rPr>
          <w:rFonts w:ascii="Cambria" w:hAnsi="Cambria" w:cs="Times New Roman"/>
          <w:b/>
          <w:lang w:val="tr-TR"/>
        </w:rPr>
        <w:t>:</w:t>
      </w:r>
    </w:p>
    <w:tbl>
      <w:tblPr>
        <w:tblStyle w:val="TabloKlavuzu"/>
        <w:tblW w:w="9199" w:type="dxa"/>
        <w:tblLook w:val="04A0" w:firstRow="1" w:lastRow="0" w:firstColumn="1" w:lastColumn="0" w:noHBand="0" w:noVBand="1"/>
      </w:tblPr>
      <w:tblGrid>
        <w:gridCol w:w="4524"/>
        <w:gridCol w:w="4675"/>
      </w:tblGrid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F23CA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lang w:val="tr-TR"/>
              </w:rPr>
            </w:pPr>
            <w:r w:rsidRPr="007F23CA">
              <w:rPr>
                <w:rFonts w:ascii="Cambria" w:hAnsi="Cambria" w:cs="Arial"/>
                <w:b/>
                <w:i/>
                <w:lang w:val="tr-TR"/>
              </w:rPr>
              <w:t>ADI-SOYADI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A72D3" w:rsidRDefault="00A742B7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F23CA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lang w:val="tr-TR"/>
              </w:rPr>
            </w:pPr>
            <w:r w:rsidRPr="007F23CA">
              <w:rPr>
                <w:rFonts w:ascii="Cambria" w:hAnsi="Cambria" w:cs="Arial"/>
                <w:b/>
                <w:i/>
                <w:lang w:val="tr-TR"/>
              </w:rPr>
              <w:t>BÖLÜM/FAKÜLTE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A72D3" w:rsidRDefault="00A742B7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A742B7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F23CA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lang w:val="tr-TR"/>
              </w:rPr>
            </w:pPr>
            <w:r w:rsidRPr="007F23CA">
              <w:rPr>
                <w:rFonts w:ascii="Cambria" w:hAnsi="Cambria" w:cs="Arial"/>
                <w:b/>
                <w:i/>
                <w:lang w:val="tr-TR"/>
              </w:rPr>
              <w:t>HAREKETLİLİK DÖNEMİ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A72D3" w:rsidRDefault="00985BCA" w:rsidP="00985BCA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7A72D3">
              <w:rPr>
                <w:rFonts w:ascii="Cambria" w:hAnsi="Cambria" w:cs="Times New Roman"/>
                <w:sz w:val="20"/>
                <w:szCs w:val="20"/>
                <w:lang w:val="tr-TR"/>
              </w:rPr>
              <w:t>.../…/</w:t>
            </w:r>
            <w:proofErr w:type="gramStart"/>
            <w:r w:rsidRPr="007A72D3">
              <w:rPr>
                <w:rFonts w:ascii="Cambria" w:hAnsi="Cambria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7A72D3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- …/…/</w:t>
            </w:r>
            <w:proofErr w:type="gramStart"/>
            <w:r w:rsidRPr="007A72D3">
              <w:rPr>
                <w:rFonts w:ascii="Cambria" w:hAnsi="Cambria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</w:tr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F23CA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lang w:val="tr-TR"/>
              </w:rPr>
            </w:pPr>
            <w:r w:rsidRPr="007F23CA">
              <w:rPr>
                <w:rFonts w:ascii="Cambria" w:hAnsi="Cambria" w:cs="Arial"/>
                <w:b/>
                <w:i/>
                <w:lang w:val="tr-TR"/>
              </w:rPr>
              <w:t>GİDİLEN PARTNER ÜNİVERSİTE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7A72D3" w:rsidRDefault="00A742B7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855BAA" w:rsidRPr="006D08DF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p w:rsidR="002917BE" w:rsidRPr="007F23CA" w:rsidRDefault="002917BE" w:rsidP="002917BE">
      <w:pPr>
        <w:spacing w:after="0"/>
        <w:rPr>
          <w:rFonts w:ascii="Cambria" w:hAnsi="Cambria" w:cs="Times New Roman"/>
          <w:b/>
          <w:u w:val="single"/>
          <w:lang w:val="tr-TR"/>
        </w:rPr>
      </w:pPr>
      <w:r>
        <w:rPr>
          <w:rFonts w:ascii="Cambria" w:hAnsi="Cambria" w:cs="Times New Roman"/>
          <w:b/>
          <w:u w:val="single"/>
          <w:lang w:val="tr-TR"/>
        </w:rPr>
        <w:t>ERASMUS+ HAREKETLİLİK SONRASI BELGELER</w:t>
      </w:r>
    </w:p>
    <w:p w:rsidR="00855BAA" w:rsidRPr="006D08DF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  <w:bookmarkStart w:id="0" w:name="_GoBack"/>
      <w:bookmarkEnd w:id="0"/>
    </w:p>
    <w:tbl>
      <w:tblPr>
        <w:tblStyle w:val="TabloKlavuzu"/>
        <w:tblW w:w="9199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2253"/>
        <w:gridCol w:w="5954"/>
        <w:gridCol w:w="992"/>
      </w:tblGrid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Katılım Belgesi/Sertifikası</w:t>
            </w:r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D65805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Partner ü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niversite tarafından düzenlenmiş,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nihai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hareke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tlilik tarihlerini içeren onaylı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ve imzalı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belge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Transcript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Records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6038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Öğrencinin başarı durumunu 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gösteren </w:t>
            </w:r>
            <w:proofErr w:type="gramStart"/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>partner</w:t>
            </w:r>
            <w:proofErr w:type="gramEnd"/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üniversitede almış olduğu derslerin kredi ve notlarını gösteren 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onaylı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ve imzalı not dökümü.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6038CA" w:rsidRPr="006D08DF" w:rsidRDefault="006038CA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Learning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Agreement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for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Studies</w:t>
            </w:r>
            <w:proofErr w:type="spellEnd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–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After</w:t>
            </w:r>
            <w:proofErr w:type="spellEnd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the</w:t>
            </w:r>
            <w:proofErr w:type="spellEnd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Mobility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7E3F19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*</w:t>
            </w:r>
          </w:p>
          <w:p w:rsidR="006038CA" w:rsidRPr="006D08DF" w:rsidRDefault="006038CA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7F23CA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Partner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üniversitede alınan dersleri ve bu derslerin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TAU’daki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karşılığını 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içeren</w:t>
            </w:r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, 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Fakülte/Bölüm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Erasmus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koordinatörü, </w:t>
            </w:r>
            <w:proofErr w:type="gramStart"/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partner</w:t>
            </w:r>
            <w:proofErr w:type="gramEnd"/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üniversite ve öğrenicinin ona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ylamış olduğu belge.</w:t>
            </w:r>
          </w:p>
          <w:p w:rsidR="007E3F19" w:rsidRDefault="007E3F19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7E3F19" w:rsidRPr="007E3F19" w:rsidRDefault="007E3F19" w:rsidP="007E3F19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18"/>
                <w:szCs w:val="18"/>
                <w:lang w:val="tr-TR"/>
              </w:rPr>
            </w:pPr>
            <w:r w:rsidRPr="007E3F19">
              <w:rPr>
                <w:rFonts w:ascii="Cambria" w:hAnsi="Cambria" w:cs="Times New Roman"/>
                <w:i/>
                <w:sz w:val="18"/>
                <w:szCs w:val="18"/>
                <w:lang w:val="tr-TR"/>
              </w:rPr>
              <w:t xml:space="preserve">Bu belge sunulamıyorsa, onaylı </w:t>
            </w:r>
            <w:proofErr w:type="spellStart"/>
            <w:r w:rsidRPr="007E3F19">
              <w:rPr>
                <w:rFonts w:ascii="Cambria" w:hAnsi="Cambria" w:cs="Times New Roman"/>
                <w:i/>
                <w:sz w:val="18"/>
                <w:szCs w:val="18"/>
                <w:lang w:val="tr-TR"/>
              </w:rPr>
              <w:t>Transcript</w:t>
            </w:r>
            <w:proofErr w:type="spellEnd"/>
            <w:r w:rsidRPr="007E3F19">
              <w:rPr>
                <w:rFonts w:ascii="Cambria" w:hAnsi="Cambria" w:cs="Times New Roman"/>
                <w:i/>
                <w:sz w:val="18"/>
                <w:szCs w:val="18"/>
                <w:lang w:val="tr-TR"/>
              </w:rPr>
              <w:t xml:space="preserve"> yeterli olacaktır.</w:t>
            </w:r>
          </w:p>
          <w:p w:rsidR="00B67B49" w:rsidRPr="006D08DF" w:rsidRDefault="00B67B49" w:rsidP="00D65805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EU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Survey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(Öğrenci Anketi)</w:t>
            </w:r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Öğrencinin e-mail adresine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gönderilen çevrimiçi AB Anketi’ni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n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doldurulması</w:t>
            </w:r>
            <w:r w:rsidR="007E3F19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(sistem üzerinden Uluslararası İlişkiler Koordinatörlüğü tarafından kontrol edilecektir)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 w:rsidP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OLS (Çevrimiçi Dil Sınavı) Sonucu </w:t>
            </w:r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B612D1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OLS üzerinden hareke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>tlilik öncesi ve sonrası çevrimiçi uygulanan sınavların sonucu</w:t>
            </w:r>
            <w:r w:rsidR="007E3F19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(sistem üzerinden Uluslararası İlişkiler Koordinatörlüğü tarafından kontrol edilecektir)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898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Pasaportta Giriş-Çıkış mühürlerinin bulunduğu sayfalar</w:t>
            </w:r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Pasaportta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bütün giriş ve çıkış damgalarının bulunduğu sa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yfaların okunaklı fotokopileri. (Belge teslimi sırasında pasaport aslı talep edilecektir</w:t>
            </w:r>
            <w:r w:rsidR="003030E2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FC00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0E7F6D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Akademik Tanınma Belgesi</w:t>
            </w:r>
          </w:p>
        </w:tc>
        <w:tc>
          <w:tcPr>
            <w:tcW w:w="5954" w:type="dxa"/>
            <w:shd w:val="clear" w:color="auto" w:fill="FFFFFF" w:themeFill="background1"/>
          </w:tcPr>
          <w:p w:rsidR="00B67B49" w:rsidRPr="006D08DF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Partner üniversitede alınan 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derslerin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kredi ve notlarının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TAU’daki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karşılığını gösteren ve akademik tanınmayı sonuçlandıran belge.</w:t>
            </w:r>
          </w:p>
        </w:tc>
        <w:tc>
          <w:tcPr>
            <w:tcW w:w="992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7777D4" w:rsidRPr="006D08DF" w:rsidTr="00FC00CA">
        <w:trPr>
          <w:trHeight w:val="822"/>
        </w:trPr>
        <w:tc>
          <w:tcPr>
            <w:tcW w:w="2253" w:type="dxa"/>
            <w:shd w:val="clear" w:color="auto" w:fill="FFFFFF" w:themeFill="background1"/>
          </w:tcPr>
          <w:p w:rsidR="007777D4" w:rsidRPr="006D08DF" w:rsidRDefault="000E7F6D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Fakülte/Enstitü Kurul Kararı</w:t>
            </w:r>
          </w:p>
        </w:tc>
        <w:tc>
          <w:tcPr>
            <w:tcW w:w="5954" w:type="dxa"/>
            <w:shd w:val="clear" w:color="auto" w:fill="FFFFFF" w:themeFill="background1"/>
          </w:tcPr>
          <w:p w:rsidR="007777D4" w:rsidRPr="006D08DF" w:rsidRDefault="000E7F6D" w:rsidP="000E7F6D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Akademik Tanınma Belgesinde yer alan derslerin i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lgili fakülte/enstitü kurulu 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ta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rafından onaylandığını gösteren 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belge.</w:t>
            </w:r>
          </w:p>
        </w:tc>
        <w:tc>
          <w:tcPr>
            <w:tcW w:w="992" w:type="dxa"/>
            <w:shd w:val="clear" w:color="auto" w:fill="FFFFFF" w:themeFill="background1"/>
          </w:tcPr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CC0336" w:rsidRPr="006D08DF" w:rsidTr="00FC00CA">
        <w:trPr>
          <w:trHeight w:val="819"/>
        </w:trPr>
        <w:tc>
          <w:tcPr>
            <w:tcW w:w="2253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Kişisel İzlenim Raporu</w:t>
            </w:r>
          </w:p>
        </w:tc>
        <w:tc>
          <w:tcPr>
            <w:tcW w:w="5954" w:type="dxa"/>
            <w:shd w:val="clear" w:color="auto" w:fill="FFFFFF" w:themeFill="background1"/>
          </w:tcPr>
          <w:p w:rsidR="00CC0336" w:rsidRPr="006D08DF" w:rsidRDefault="00221CE6" w:rsidP="00221CE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Öğrencinin </w:t>
            </w:r>
            <w:proofErr w:type="gramStart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partner</w:t>
            </w:r>
            <w:proofErr w:type="gramEnd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üniversitede geçirdiği öğrenim süresi ve Erasmus+ Programı ile ilgili görüşlerini içeren </w:t>
            </w:r>
            <w:r w:rsidR="00CC0336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A4 kağıda yazılmış metin. </w:t>
            </w:r>
          </w:p>
        </w:tc>
        <w:tc>
          <w:tcPr>
            <w:tcW w:w="992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855BAA" w:rsidRPr="00855BAA" w:rsidRDefault="00855BAA" w:rsidP="00855BAA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855BAA" w:rsidRPr="00855BAA" w:rsidSect="007F23CA">
      <w:headerReference w:type="default" r:id="rId8"/>
      <w:footerReference w:type="default" r:id="rId9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5F" w:rsidRDefault="0022695F" w:rsidP="006E64B4">
      <w:pPr>
        <w:spacing w:after="0" w:line="240" w:lineRule="auto"/>
      </w:pPr>
      <w:r>
        <w:separator/>
      </w:r>
    </w:p>
  </w:endnote>
  <w:endnote w:type="continuationSeparator" w:id="0">
    <w:p w:rsidR="0022695F" w:rsidRDefault="0022695F" w:rsidP="006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A" w:rsidRDefault="00E1100A" w:rsidP="00E1100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Default="00E1100A" w:rsidP="00E1100A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Pr="00E03860" w:rsidRDefault="00E1100A" w:rsidP="00FC00CA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r w:rsidR="00FC00CA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</w:t>
    </w:r>
    <w:r w:rsidR="00FC00CA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E1100A" w:rsidRPr="00132B5D" w:rsidRDefault="00E1100A" w:rsidP="00E1100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="00FC00CA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E1100A" w:rsidRDefault="00E1100A">
    <w:pPr>
      <w:pStyle w:val="Altbilgi"/>
    </w:pPr>
  </w:p>
  <w:p w:rsidR="00026316" w:rsidRDefault="000263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5F" w:rsidRDefault="0022695F" w:rsidP="006E64B4">
      <w:pPr>
        <w:spacing w:after="0" w:line="240" w:lineRule="auto"/>
      </w:pPr>
      <w:r>
        <w:separator/>
      </w:r>
    </w:p>
  </w:footnote>
  <w:footnote w:type="continuationSeparator" w:id="0">
    <w:p w:rsidR="0022695F" w:rsidRDefault="0022695F" w:rsidP="006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4" w:rsidRDefault="007F23CA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EC1E07F" wp14:editId="3ECE15B2">
          <wp:simplePos x="0" y="0"/>
          <wp:positionH relativeFrom="column">
            <wp:posOffset>5171440</wp:posOffset>
          </wp:positionH>
          <wp:positionV relativeFrom="paragraph">
            <wp:posOffset>-191135</wp:posOffset>
          </wp:positionV>
          <wp:extent cx="1266825" cy="292100"/>
          <wp:effectExtent l="0" t="0" r="9525" b="0"/>
          <wp:wrapTight wrapText="bothSides">
            <wp:wrapPolygon edited="0">
              <wp:start x="0" y="0"/>
              <wp:lineTo x="0" y="19722"/>
              <wp:lineTo x="21438" y="19722"/>
              <wp:lineTo x="21438" y="0"/>
              <wp:lineTo x="0" y="0"/>
            </wp:wrapPolygon>
          </wp:wrapTight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BB0D2AA" wp14:editId="098E9AFA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247775" cy="254000"/>
          <wp:effectExtent l="0" t="0" r="9525" b="0"/>
          <wp:wrapTight wrapText="bothSides">
            <wp:wrapPolygon edited="0">
              <wp:start x="0" y="0"/>
              <wp:lineTo x="0" y="19440"/>
              <wp:lineTo x="21435" y="19440"/>
              <wp:lineTo x="21435" y="9720"/>
              <wp:lineTo x="7255" y="0"/>
              <wp:lineTo x="0" y="0"/>
            </wp:wrapPolygon>
          </wp:wrapTight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4B4" w:rsidRDefault="006E64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6AA"/>
    <w:multiLevelType w:val="hybridMultilevel"/>
    <w:tmpl w:val="7B3C0B28"/>
    <w:lvl w:ilvl="0" w:tplc="AA2E50E8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D0DCF"/>
    <w:multiLevelType w:val="hybridMultilevel"/>
    <w:tmpl w:val="293678FC"/>
    <w:lvl w:ilvl="0" w:tplc="A684A5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2B50"/>
    <w:multiLevelType w:val="hybridMultilevel"/>
    <w:tmpl w:val="708659A8"/>
    <w:lvl w:ilvl="0" w:tplc="AA2E50E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0DE9"/>
    <w:multiLevelType w:val="hybridMultilevel"/>
    <w:tmpl w:val="1BE8FA00"/>
    <w:lvl w:ilvl="0" w:tplc="AA2E50E8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02CFC"/>
    <w:multiLevelType w:val="hybridMultilevel"/>
    <w:tmpl w:val="F5488212"/>
    <w:lvl w:ilvl="0" w:tplc="9084C4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2255"/>
    <w:multiLevelType w:val="hybridMultilevel"/>
    <w:tmpl w:val="BDD07356"/>
    <w:lvl w:ilvl="0" w:tplc="AA2E50E8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F513C"/>
    <w:multiLevelType w:val="hybridMultilevel"/>
    <w:tmpl w:val="247C0096"/>
    <w:lvl w:ilvl="0" w:tplc="C96E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9"/>
    <w:rsid w:val="00026316"/>
    <w:rsid w:val="000962DA"/>
    <w:rsid w:val="000E7F6D"/>
    <w:rsid w:val="00133DC9"/>
    <w:rsid w:val="00221CE6"/>
    <w:rsid w:val="0022695F"/>
    <w:rsid w:val="002917BE"/>
    <w:rsid w:val="003030E2"/>
    <w:rsid w:val="0032053F"/>
    <w:rsid w:val="003531F1"/>
    <w:rsid w:val="00357585"/>
    <w:rsid w:val="003A5DE4"/>
    <w:rsid w:val="004C0546"/>
    <w:rsid w:val="004C6DE7"/>
    <w:rsid w:val="0051308C"/>
    <w:rsid w:val="005150F3"/>
    <w:rsid w:val="005C6F74"/>
    <w:rsid w:val="006038CA"/>
    <w:rsid w:val="006845F6"/>
    <w:rsid w:val="00686045"/>
    <w:rsid w:val="006923FE"/>
    <w:rsid w:val="006D08DF"/>
    <w:rsid w:val="006E331D"/>
    <w:rsid w:val="006E64B4"/>
    <w:rsid w:val="007777D4"/>
    <w:rsid w:val="007A72D3"/>
    <w:rsid w:val="007E3F19"/>
    <w:rsid w:val="007F23CA"/>
    <w:rsid w:val="00825059"/>
    <w:rsid w:val="00855BAA"/>
    <w:rsid w:val="00857BB8"/>
    <w:rsid w:val="00872029"/>
    <w:rsid w:val="00985BCA"/>
    <w:rsid w:val="009D330F"/>
    <w:rsid w:val="00A51F3D"/>
    <w:rsid w:val="00A742B7"/>
    <w:rsid w:val="00A83828"/>
    <w:rsid w:val="00B35438"/>
    <w:rsid w:val="00B612D1"/>
    <w:rsid w:val="00B67B49"/>
    <w:rsid w:val="00C058A9"/>
    <w:rsid w:val="00CB0FDA"/>
    <w:rsid w:val="00CC0336"/>
    <w:rsid w:val="00D34B66"/>
    <w:rsid w:val="00D65805"/>
    <w:rsid w:val="00D8282F"/>
    <w:rsid w:val="00DF3D3E"/>
    <w:rsid w:val="00E1100A"/>
    <w:rsid w:val="00E11571"/>
    <w:rsid w:val="00E73643"/>
    <w:rsid w:val="00EA442B"/>
    <w:rsid w:val="00EB4E23"/>
    <w:rsid w:val="00ED3164"/>
    <w:rsid w:val="00F262A8"/>
    <w:rsid w:val="00F6181B"/>
    <w:rsid w:val="00F84823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84E2-8A1B-4033-BD9B-6486AA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6">
    <w:name w:val="Grid Table 4 Accent 6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3">
    <w:name w:val="Grid Table 4 Accent 3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2">
    <w:name w:val="Grid Table 4 Accent 2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">
    <w:name w:val="Grid Table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A742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742B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742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">
    <w:name w:val="Grid Table 7 Colorful"/>
    <w:basedOn w:val="NormalTablo"/>
    <w:uiPriority w:val="52"/>
    <w:rsid w:val="00A74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4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4B4"/>
    <w:rPr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6E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64B4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64B4"/>
    <w:rPr>
      <w:b/>
      <w:bCs/>
      <w:sz w:val="20"/>
      <w:szCs w:val="20"/>
      <w:lang w:val="en-GB"/>
    </w:rPr>
  </w:style>
  <w:style w:type="paragraph" w:styleId="Dzeltme">
    <w:name w:val="Revision"/>
    <w:hidden/>
    <w:uiPriority w:val="99"/>
    <w:semiHidden/>
    <w:rsid w:val="006E64B4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B4"/>
    <w:rPr>
      <w:rFonts w:ascii="Segoe UI" w:hAnsi="Segoe UI" w:cs="Segoe UI"/>
      <w:sz w:val="18"/>
      <w:szCs w:val="18"/>
      <w:lang w:val="en-GB"/>
    </w:rPr>
  </w:style>
  <w:style w:type="table" w:styleId="TabloKlavuzuAk">
    <w:name w:val="Grid Table Light"/>
    <w:basedOn w:val="NormalTablo"/>
    <w:uiPriority w:val="40"/>
    <w:rsid w:val="00B67B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6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DEF9-D2A5-48CC-9325-2723D220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19</cp:revision>
  <dcterms:created xsi:type="dcterms:W3CDTF">2017-11-07T08:01:00Z</dcterms:created>
  <dcterms:modified xsi:type="dcterms:W3CDTF">2019-09-11T10:10:00Z</dcterms:modified>
</cp:coreProperties>
</file>